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宋体" w:eastAsia="黑体" w:cs="黑体"/>
          <w:b/>
          <w:bCs/>
          <w:i w:val="0"/>
          <w:iCs w:val="0"/>
          <w:caps w:val="0"/>
          <w:color w:val="000000"/>
          <w:spacing w:val="0"/>
          <w:kern w:val="0"/>
          <w:sz w:val="36"/>
          <w:szCs w:val="36"/>
          <w:shd w:val="clear" w:fill="FFFFFF"/>
          <w:lang w:val="en-US" w:eastAsia="zh-CN" w:bidi="ar"/>
        </w:rPr>
      </w:pPr>
      <w:r>
        <w:rPr>
          <w:rFonts w:hint="eastAsia" w:ascii="黑体" w:hAnsi="宋体" w:eastAsia="黑体" w:cs="黑体"/>
          <w:b/>
          <w:bCs/>
          <w:i w:val="0"/>
          <w:iCs w:val="0"/>
          <w:caps w:val="0"/>
          <w:color w:val="000000"/>
          <w:spacing w:val="0"/>
          <w:kern w:val="0"/>
          <w:sz w:val="36"/>
          <w:szCs w:val="36"/>
          <w:shd w:val="clear" w:fill="FFFFFF"/>
          <w:lang w:val="en-US" w:eastAsia="zh-CN" w:bidi="ar"/>
        </w:rPr>
        <w:t>项目三：</w:t>
      </w:r>
      <w:r>
        <w:rPr>
          <w:rFonts w:hint="eastAsia" w:ascii="微软雅黑" w:hAnsi="微软雅黑" w:eastAsia="微软雅黑" w:cs="微软雅黑"/>
          <w:b/>
          <w:bCs/>
          <w:i w:val="0"/>
          <w:iCs w:val="0"/>
          <w:caps w:val="0"/>
          <w:color w:val="000000"/>
          <w:spacing w:val="0"/>
          <w:kern w:val="0"/>
          <w:sz w:val="36"/>
          <w:szCs w:val="36"/>
          <w:shd w:val="clear" w:fill="FFFFFF"/>
          <w:lang w:val="en-US" w:eastAsia="zh-CN" w:bidi="ar"/>
        </w:rPr>
        <w:t>《</w:t>
      </w:r>
      <w:r>
        <w:rPr>
          <w:rFonts w:hint="eastAsia" w:ascii="黑体" w:hAnsi="宋体" w:eastAsia="黑体" w:cs="黑体"/>
          <w:b/>
          <w:bCs/>
          <w:i w:val="0"/>
          <w:iCs w:val="0"/>
          <w:caps w:val="0"/>
          <w:color w:val="000000"/>
          <w:spacing w:val="0"/>
          <w:kern w:val="0"/>
          <w:sz w:val="36"/>
          <w:szCs w:val="36"/>
          <w:shd w:val="clear" w:fill="FFFFFF"/>
          <w:lang w:val="en-US" w:eastAsia="zh-CN" w:bidi="ar"/>
        </w:rPr>
        <w:t>优化专业体系和改革专业课程</w:t>
      </w:r>
      <w:r>
        <w:rPr>
          <w:rFonts w:hint="eastAsia" w:ascii="微软雅黑" w:hAnsi="微软雅黑" w:eastAsia="微软雅黑" w:cs="微软雅黑"/>
          <w:b/>
          <w:bCs/>
          <w:i w:val="0"/>
          <w:iCs w:val="0"/>
          <w:caps w:val="0"/>
          <w:color w:val="000000"/>
          <w:spacing w:val="0"/>
          <w:kern w:val="0"/>
          <w:sz w:val="36"/>
          <w:szCs w:val="36"/>
          <w:shd w:val="clear" w:fill="FFFFFF"/>
          <w:lang w:val="en-US" w:eastAsia="zh-CN" w:bidi="ar"/>
        </w:rPr>
        <w:t>》</w:t>
      </w:r>
    </w:p>
    <w:p>
      <w:pPr>
        <w:jc w:val="center"/>
        <w:rPr>
          <w:rFonts w:hint="eastAsia" w:ascii="黑体" w:hAnsi="宋体" w:eastAsia="黑体" w:cs="黑体"/>
          <w:b/>
          <w:bCs/>
          <w:i w:val="0"/>
          <w:iCs w:val="0"/>
          <w:caps w:val="0"/>
          <w:color w:val="000000"/>
          <w:spacing w:val="0"/>
          <w:kern w:val="0"/>
          <w:sz w:val="36"/>
          <w:szCs w:val="36"/>
          <w:shd w:val="clear" w:fill="FFFFFF"/>
          <w:lang w:val="en-US" w:eastAsia="zh-CN" w:bidi="ar"/>
        </w:rPr>
      </w:pPr>
    </w:p>
    <w:p>
      <w:pPr>
        <w:jc w:val="center"/>
        <w:rPr>
          <w:rFonts w:hint="eastAsia" w:ascii="黑体" w:hAnsi="宋体" w:eastAsia="黑体" w:cs="黑体"/>
          <w:b/>
          <w:bCs/>
          <w:i w:val="0"/>
          <w:iCs w:val="0"/>
          <w:caps w:val="0"/>
          <w:color w:val="000000"/>
          <w:spacing w:val="0"/>
          <w:kern w:val="0"/>
          <w:sz w:val="36"/>
          <w:szCs w:val="36"/>
          <w:shd w:val="clear" w:fill="FFFFFF"/>
          <w:lang w:val="en-US" w:eastAsia="zh-CN" w:bidi="ar"/>
        </w:rPr>
      </w:pPr>
      <w:r>
        <w:rPr>
          <w:rFonts w:hint="eastAsia" w:ascii="黑体" w:hAnsi="宋体" w:eastAsia="黑体" w:cs="黑体"/>
          <w:b/>
          <w:bCs/>
          <w:i w:val="0"/>
          <w:iCs w:val="0"/>
          <w:caps w:val="0"/>
          <w:color w:val="000000"/>
          <w:spacing w:val="0"/>
          <w:kern w:val="0"/>
          <w:sz w:val="36"/>
          <w:szCs w:val="36"/>
          <w:shd w:val="clear" w:fill="FFFFFF"/>
          <w:lang w:val="en-US" w:eastAsia="zh-CN" w:bidi="ar"/>
        </w:rPr>
        <w:t>专家评审意见和建议</w:t>
      </w:r>
    </w:p>
    <w:p>
      <w:pPr>
        <w:jc w:val="center"/>
        <w:rPr>
          <w:rFonts w:hint="eastAsia" w:ascii="黑体" w:hAnsi="宋体" w:eastAsia="黑体" w:cs="黑体"/>
          <w:b/>
          <w:bCs/>
          <w:i w:val="0"/>
          <w:iCs w:val="0"/>
          <w:caps w:val="0"/>
          <w:color w:val="000000"/>
          <w:spacing w:val="0"/>
          <w:kern w:val="0"/>
          <w:sz w:val="36"/>
          <w:szCs w:val="36"/>
          <w:shd w:val="clear"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000000"/>
          <w:sz w:val="28"/>
          <w:szCs w:val="28"/>
          <w:lang w:val="en-US" w:eastAsia="zh-CN"/>
        </w:rPr>
      </w:pPr>
      <w:bookmarkStart w:id="0" w:name="_GoBack"/>
      <w:r>
        <w:rPr>
          <w:rFonts w:hint="eastAsia" w:ascii="仿宋_GB2312" w:hAnsi="仿宋_GB2312" w:eastAsia="仿宋_GB2312" w:cs="仿宋_GB2312"/>
          <w:b w:val="0"/>
          <w:bCs w:val="0"/>
          <w:color w:val="000000"/>
          <w:sz w:val="28"/>
          <w:szCs w:val="28"/>
          <w:lang w:val="en-US" w:eastAsia="zh-CN"/>
        </w:rPr>
        <w:t>校专家组完成了播音与主持艺术、材料成型工艺及控制工程、机器人工程、体育教育、国际经济与贸易、审计学、广播电视编导、商务英语、学前教育、软件工程及数字媒体技术等12个专业的优化专业体系和改革专业课程培养项目的评审，绝大部分专业均及时提交了建设方案，其中软件工程、商务英语的的建设方案相对来说内容丰富、要素齐全、措施落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一、主要问题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000000"/>
          <w:sz w:val="28"/>
          <w:szCs w:val="28"/>
          <w:lang w:eastAsia="zh-CN"/>
        </w:rPr>
      </w:pPr>
      <w:r>
        <w:rPr>
          <w:rFonts w:hint="eastAsia" w:ascii="仿宋_GB2312" w:hAnsi="仿宋_GB2312" w:eastAsia="仿宋_GB2312" w:cs="仿宋_GB2312"/>
          <w:b w:val="0"/>
          <w:bCs w:val="0"/>
          <w:color w:val="000000"/>
          <w:sz w:val="28"/>
          <w:szCs w:val="28"/>
          <w:lang w:val="en-US" w:eastAsia="zh-CN"/>
        </w:rPr>
        <w:t>1.</w:t>
      </w:r>
      <w:r>
        <w:rPr>
          <w:rFonts w:hint="eastAsia" w:ascii="仿宋_GB2312" w:hAnsi="仿宋_GB2312" w:eastAsia="仿宋_GB2312" w:cs="仿宋_GB2312"/>
          <w:b w:val="0"/>
          <w:bCs w:val="0"/>
          <w:color w:val="000000"/>
          <w:sz w:val="28"/>
          <w:szCs w:val="28"/>
          <w:lang w:eastAsia="zh-CN"/>
        </w:rPr>
        <w:t>各专业对评估指标及项目评分表的学习与理解需要进一步加强，个别专业将优化专业体系与改革专业课程混在一起进行分析， 有的专业只侧重一个方面进行项目建设的分析。</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eastAsia="zh-CN"/>
        </w:rPr>
      </w:pPr>
      <w:r>
        <w:rPr>
          <w:rFonts w:hint="eastAsia" w:ascii="仿宋_GB2312" w:hAnsi="仿宋_GB2312" w:eastAsia="仿宋_GB2312" w:cs="仿宋_GB2312"/>
          <w:b w:val="0"/>
          <w:bCs w:val="0"/>
          <w:color w:val="000000"/>
          <w:sz w:val="28"/>
          <w:szCs w:val="28"/>
          <w:lang w:val="en-US" w:eastAsia="zh-CN"/>
        </w:rPr>
        <w:t>2.</w:t>
      </w:r>
      <w:r>
        <w:rPr>
          <w:rFonts w:hint="eastAsia" w:ascii="仿宋_GB2312" w:hAnsi="仿宋_GB2312" w:eastAsia="仿宋_GB2312" w:cs="仿宋_GB2312"/>
          <w:b w:val="0"/>
          <w:bCs w:val="0"/>
          <w:color w:val="000000"/>
          <w:sz w:val="28"/>
          <w:szCs w:val="28"/>
          <w:lang w:eastAsia="zh-CN"/>
        </w:rPr>
        <w:t>各专业需要对优化专业体系与改革专业课程这两者的建设内涵进一步理解。优化专业体系主要从</w:t>
      </w:r>
      <w:r>
        <w:rPr>
          <w:rFonts w:ascii="仿宋_GB2312" w:hAnsi="仿宋_GB2312" w:eastAsia="仿宋_GB2312" w:cs="仿宋_GB2312"/>
          <w:b w:val="0"/>
          <w:bCs w:val="0"/>
          <w:color w:val="262626"/>
          <w:sz w:val="28"/>
          <w:szCs w:val="28"/>
        </w:rPr>
        <w:t>培养目标达成度、适应经济社会发展方面、专业定位与特色、 专业办学实力、课程体系建设、建设质量保障等方面分析</w:t>
      </w:r>
      <w:r>
        <w:rPr>
          <w:rFonts w:hint="eastAsia" w:ascii="仿宋_GB2312" w:hAnsi="仿宋_GB2312" w:eastAsia="仿宋_GB2312" w:cs="仿宋_GB2312"/>
          <w:b w:val="0"/>
          <w:bCs w:val="0"/>
          <w:color w:val="262626"/>
          <w:sz w:val="28"/>
          <w:szCs w:val="28"/>
          <w:lang w:eastAsia="zh-CN"/>
        </w:rPr>
        <w:t>；</w:t>
      </w:r>
      <w:r>
        <w:rPr>
          <w:rFonts w:hint="eastAsia" w:ascii="仿宋_GB2312" w:hAnsi="仿宋_GB2312" w:eastAsia="仿宋_GB2312" w:cs="仿宋_GB2312"/>
          <w:b w:val="0"/>
          <w:bCs w:val="0"/>
          <w:color w:val="000000"/>
          <w:sz w:val="28"/>
          <w:szCs w:val="28"/>
          <w:lang w:eastAsia="zh-CN"/>
        </w:rPr>
        <w:t>改革专业课程主要从</w:t>
      </w:r>
      <w:r>
        <w:rPr>
          <w:rFonts w:ascii="仿宋_GB2312" w:hAnsi="仿宋_GB2312" w:eastAsia="仿宋_GB2312" w:cs="仿宋_GB2312"/>
          <w:b w:val="0"/>
          <w:bCs w:val="0"/>
          <w:color w:val="262626"/>
          <w:sz w:val="28"/>
          <w:szCs w:val="28"/>
        </w:rPr>
        <w:t>教学队伍、教学内容、教学条件保障、教学方法与手段、教学研究、课程评价等方面</w:t>
      </w:r>
      <w:r>
        <w:rPr>
          <w:rFonts w:hint="eastAsia" w:ascii="仿宋_GB2312" w:hAnsi="仿宋_GB2312" w:eastAsia="仿宋_GB2312" w:cs="仿宋_GB2312"/>
          <w:b w:val="0"/>
          <w:bCs w:val="0"/>
          <w:color w:val="262626"/>
          <w:sz w:val="28"/>
          <w:szCs w:val="28"/>
          <w:lang w:eastAsia="zh-CN"/>
        </w:rPr>
        <w:t>进行</w:t>
      </w:r>
      <w:r>
        <w:rPr>
          <w:rFonts w:ascii="仿宋_GB2312" w:hAnsi="仿宋_GB2312" w:eastAsia="仿宋_GB2312" w:cs="仿宋_GB2312"/>
          <w:b w:val="0"/>
          <w:bCs w:val="0"/>
          <w:color w:val="262626"/>
          <w:sz w:val="28"/>
          <w:szCs w:val="28"/>
        </w:rPr>
        <w:t>分析</w:t>
      </w:r>
      <w:r>
        <w:rPr>
          <w:rFonts w:hint="eastAsia" w:ascii="仿宋_GB2312" w:hAnsi="仿宋_GB2312" w:eastAsia="仿宋_GB2312" w:cs="仿宋_GB2312"/>
          <w:b w:val="0"/>
          <w:bCs w:val="0"/>
          <w:color w:val="262626"/>
          <w:sz w:val="28"/>
          <w:szCs w:val="28"/>
          <w:lang w:eastAsia="zh-CN"/>
        </w:rPr>
        <w:t>。部分专业建设</w:t>
      </w:r>
      <w:r>
        <w:rPr>
          <w:rFonts w:hint="eastAsia" w:ascii="仿宋_GB2312" w:hAnsi="仿宋_GB2312" w:eastAsia="仿宋_GB2312" w:cs="仿宋_GB2312"/>
          <w:b w:val="0"/>
          <w:bCs w:val="0"/>
          <w:color w:val="000000"/>
          <w:sz w:val="28"/>
          <w:szCs w:val="28"/>
          <w:lang w:eastAsia="zh-CN"/>
        </w:rPr>
        <w:t>内涵理解不够，同时建设</w:t>
      </w:r>
      <w:r>
        <w:rPr>
          <w:rFonts w:hint="eastAsia" w:ascii="仿宋_GB2312" w:hAnsi="仿宋_GB2312" w:eastAsia="仿宋_GB2312" w:cs="仿宋_GB2312"/>
          <w:b w:val="0"/>
          <w:bCs w:val="0"/>
          <w:color w:val="262626"/>
          <w:sz w:val="28"/>
          <w:szCs w:val="28"/>
          <w:lang w:eastAsia="zh-CN"/>
        </w:rPr>
        <w:t>内容不够充实。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lang w:val="en-US" w:eastAsia="zh-CN"/>
        </w:rPr>
        <w:t>3.</w:t>
      </w:r>
      <w:r>
        <w:rPr>
          <w:rFonts w:ascii="仿宋_GB2312" w:hAnsi="仿宋_GB2312" w:eastAsia="仿宋_GB2312" w:cs="仿宋_GB2312"/>
          <w:b w:val="0"/>
          <w:bCs w:val="0"/>
          <w:color w:val="262626"/>
          <w:sz w:val="28"/>
          <w:szCs w:val="28"/>
        </w:rPr>
        <w:t>注意方案撰写的基本逻辑结构：现状分析</w:t>
      </w:r>
      <w:r>
        <w:rPr>
          <w:rFonts w:hint="eastAsia" w:ascii="仿宋_GB2312" w:hAnsi="仿宋_GB2312" w:eastAsia="仿宋_GB2312" w:cs="仿宋_GB2312"/>
          <w:b w:val="0"/>
          <w:bCs w:val="0"/>
          <w:color w:val="262626"/>
          <w:sz w:val="28"/>
          <w:szCs w:val="28"/>
          <w:lang w:eastAsia="zh-CN"/>
        </w:rPr>
        <w:t>（包括</w:t>
      </w:r>
      <w:r>
        <w:rPr>
          <w:rFonts w:ascii="仿宋_GB2312" w:hAnsi="仿宋_GB2312" w:eastAsia="仿宋_GB2312" w:cs="仿宋_GB2312"/>
          <w:b w:val="0"/>
          <w:bCs w:val="0"/>
          <w:color w:val="262626"/>
          <w:sz w:val="28"/>
          <w:szCs w:val="28"/>
        </w:rPr>
        <w:t>弱项分析</w:t>
      </w:r>
      <w:r>
        <w:rPr>
          <w:rFonts w:hint="eastAsia" w:ascii="仿宋_GB2312" w:hAnsi="仿宋_GB2312" w:eastAsia="仿宋_GB2312" w:cs="仿宋_GB2312"/>
          <w:b w:val="0"/>
          <w:bCs w:val="0"/>
          <w:color w:val="262626"/>
          <w:sz w:val="28"/>
          <w:szCs w:val="28"/>
          <w:lang w:eastAsia="zh-CN"/>
        </w:rPr>
        <w:t>）</w:t>
      </w:r>
      <w:r>
        <w:rPr>
          <w:rFonts w:ascii="仿宋_GB2312" w:hAnsi="仿宋_GB2312" w:eastAsia="仿宋_GB2312" w:cs="仿宋_GB2312"/>
          <w:b w:val="0"/>
          <w:bCs w:val="0"/>
          <w:color w:val="262626"/>
          <w:sz w:val="28"/>
          <w:szCs w:val="28"/>
        </w:rPr>
        <w:t>-建设目标-建设措施或培养途径，不少专业有缺项。</w:t>
      </w:r>
    </w:p>
    <w:p>
      <w:pPr>
        <w:pStyle w:val="6"/>
        <w:keepNext w:val="0"/>
        <w:keepLines w:val="0"/>
        <w:pageBreakBefore w:val="0"/>
        <w:widowControl w:val="0"/>
        <w:kinsoku/>
        <w:wordWrap/>
        <w:overflowPunct/>
        <w:topLinePunct w:val="0"/>
        <w:autoSpaceDE/>
        <w:autoSpaceDN/>
        <w:bidi w:val="0"/>
        <w:adjustRightInd/>
        <w:snapToGrid/>
        <w:spacing w:afterLines="0" w:line="440" w:lineRule="exact"/>
        <w:ind w:left="0" w:leftChars="0" w:firstLine="560" w:firstLineChars="200"/>
        <w:jc w:val="left"/>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w:t>
      </w:r>
      <w:r>
        <w:rPr>
          <w:rFonts w:hint="eastAsia" w:ascii="仿宋_GB2312" w:hAnsi="仿宋_GB2312" w:eastAsia="仿宋_GB2312" w:cs="仿宋_GB2312"/>
          <w:b w:val="0"/>
          <w:bCs w:val="0"/>
          <w:color w:val="262626"/>
          <w:sz w:val="28"/>
          <w:szCs w:val="28"/>
          <w:lang w:eastAsia="zh-CN"/>
        </w:rPr>
        <w:t>方案的各逻辑结构要前后呼应</w:t>
      </w:r>
      <w:r>
        <w:rPr>
          <w:rFonts w:hint="eastAsia" w:ascii="仿宋_GB2312" w:hAnsi="仿宋_GB2312" w:eastAsia="仿宋_GB2312" w:cs="仿宋_GB2312"/>
          <w:b w:val="0"/>
          <w:bCs w:val="0"/>
          <w:color w:val="000000"/>
          <w:kern w:val="2"/>
          <w:sz w:val="28"/>
          <w:szCs w:val="28"/>
          <w:lang w:val="en-US" w:eastAsia="zh-CN" w:bidi="ar-SA"/>
        </w:rPr>
        <w:t>，建设目标要注意根据本专业的建设现状及薄弱环节来设定，要达到评估的基本要求。部分专业建设</w:t>
      </w:r>
      <w:r>
        <w:rPr>
          <w:rFonts w:hint="eastAsia" w:ascii="仿宋_GB2312" w:hAnsi="仿宋_GB2312" w:eastAsia="仿宋_GB2312" w:cs="仿宋_GB2312"/>
          <w:b w:val="0"/>
          <w:bCs w:val="0"/>
          <w:color w:val="262626"/>
          <w:sz w:val="28"/>
          <w:szCs w:val="28"/>
          <w:lang w:val="en-US" w:eastAsia="zh-CN"/>
        </w:rPr>
        <w:t>目标空泛，不落地，也没有针对性。同时建设措施体现建设目标不够。</w:t>
      </w:r>
    </w:p>
    <w:p>
      <w:pPr>
        <w:pStyle w:val="6"/>
        <w:keepNext w:val="0"/>
        <w:keepLines w:val="0"/>
        <w:pageBreakBefore w:val="0"/>
        <w:widowControl w:val="0"/>
        <w:kinsoku/>
        <w:wordWrap/>
        <w:overflowPunct/>
        <w:topLinePunct w:val="0"/>
        <w:autoSpaceDE/>
        <w:autoSpaceDN/>
        <w:bidi w:val="0"/>
        <w:adjustRightInd/>
        <w:snapToGrid/>
        <w:spacing w:afterLines="0" w:line="440" w:lineRule="exact"/>
        <w:ind w:left="0" w:leftChars="0" w:firstLine="560" w:firstLineChars="200"/>
        <w:jc w:val="left"/>
        <w:textAlignment w:val="auto"/>
        <w:rPr>
          <w:rFonts w:hint="eastAsia" w:ascii="仿宋_GB2312" w:hAnsi="仿宋_GB2312" w:eastAsia="仿宋_GB2312" w:cs="仿宋_GB2312"/>
          <w:b w:val="0"/>
          <w:bCs w:val="0"/>
          <w:color w:val="000000"/>
          <w:sz w:val="28"/>
          <w:szCs w:val="28"/>
          <w:lang w:eastAsia="zh-CN"/>
        </w:rPr>
      </w:pPr>
      <w:r>
        <w:rPr>
          <w:rFonts w:hint="eastAsia" w:ascii="仿宋_GB2312" w:hAnsi="仿宋_GB2312" w:eastAsia="仿宋_GB2312" w:cs="仿宋_GB2312"/>
          <w:b w:val="0"/>
          <w:bCs w:val="0"/>
          <w:color w:val="262626"/>
          <w:sz w:val="28"/>
          <w:szCs w:val="28"/>
          <w:lang w:val="en-US" w:eastAsia="zh-CN"/>
        </w:rPr>
        <w:t>5.方案的重点是优化专</w:t>
      </w:r>
      <w:r>
        <w:rPr>
          <w:rFonts w:hint="eastAsia" w:ascii="仿宋_GB2312" w:hAnsi="仿宋_GB2312" w:eastAsia="仿宋_GB2312" w:cs="仿宋_GB2312"/>
          <w:b w:val="0"/>
          <w:bCs w:val="0"/>
          <w:color w:val="262626"/>
          <w:sz w:val="28"/>
          <w:szCs w:val="28"/>
          <w:lang w:eastAsia="zh-CN"/>
        </w:rPr>
        <w:t>业体系与改革专业课程的具体改革措施</w:t>
      </w:r>
      <w:r>
        <w:rPr>
          <w:rFonts w:hint="eastAsia" w:ascii="仿宋_GB2312" w:hAnsi="仿宋_GB2312" w:eastAsia="仿宋_GB2312" w:cs="仿宋_GB2312"/>
          <w:b w:val="0"/>
          <w:bCs w:val="0"/>
          <w:color w:val="262626"/>
          <w:sz w:val="28"/>
          <w:szCs w:val="28"/>
          <w:lang w:val="en-US" w:eastAsia="zh-CN"/>
        </w:rPr>
        <w:t>，这一部分要根据本建设目标来思考，各专业的</w:t>
      </w:r>
      <w:r>
        <w:rPr>
          <w:rFonts w:hint="eastAsia" w:ascii="仿宋_GB2312" w:hAnsi="仿宋_GB2312" w:eastAsia="仿宋_GB2312" w:cs="仿宋_GB2312"/>
          <w:b w:val="0"/>
          <w:bCs w:val="0"/>
          <w:color w:val="262626"/>
          <w:sz w:val="28"/>
          <w:szCs w:val="28"/>
          <w:lang w:eastAsia="zh-CN"/>
        </w:rPr>
        <w:t>改革措施需要进一步落地，如具体建几门一流课程，申报多少教改课题，建几个实践教学场地等，有步骤，手段，有负责人等。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000000"/>
          <w:sz w:val="28"/>
          <w:szCs w:val="28"/>
          <w:lang w:eastAsia="zh-CN"/>
        </w:rPr>
      </w:pPr>
      <w:r>
        <w:rPr>
          <w:rFonts w:hint="eastAsia" w:ascii="仿宋_GB2312" w:hAnsi="仿宋_GB2312" w:eastAsia="仿宋_GB2312" w:cs="仿宋_GB2312"/>
          <w:b w:val="0"/>
          <w:bCs w:val="0"/>
          <w:color w:val="000000"/>
          <w:sz w:val="28"/>
          <w:szCs w:val="28"/>
          <w:lang w:val="en-US" w:eastAsia="zh-CN"/>
        </w:rPr>
        <w:t>6.</w:t>
      </w:r>
      <w:r>
        <w:rPr>
          <w:rFonts w:hint="eastAsia" w:ascii="仿宋_GB2312" w:hAnsi="仿宋_GB2312" w:eastAsia="仿宋_GB2312" w:cs="仿宋_GB2312"/>
          <w:b w:val="0"/>
          <w:bCs w:val="0"/>
          <w:color w:val="000000"/>
          <w:sz w:val="28"/>
          <w:szCs w:val="28"/>
          <w:lang w:eastAsia="zh-CN"/>
        </w:rPr>
        <w:t>广播电视编导专业对待此项工作的态度有待端正，整体行文没有针对性，没有认真分析自己专业的情况，仅从网上片段式复制信息，甚至复制的内容连基本的格式都没有进行规范。</w:t>
      </w:r>
    </w:p>
    <w:p>
      <w:pPr>
        <w:pStyle w:val="6"/>
        <w:keepNext w:val="0"/>
        <w:keepLines w:val="0"/>
        <w:pageBreakBefore w:val="0"/>
        <w:kinsoku/>
        <w:wordWrap/>
        <w:overflowPunct/>
        <w:topLinePunct w:val="0"/>
        <w:bidi w:val="0"/>
        <w:adjustRightInd/>
        <w:snapToGrid/>
        <w:spacing w:afterLines="0" w:line="440" w:lineRule="exact"/>
        <w:ind w:left="0" w:firstLine="562" w:firstLineChars="200"/>
        <w:jc w:val="lef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二、各专业具体情况</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（一）</w:t>
      </w:r>
      <w:r>
        <w:rPr>
          <w:rFonts w:hint="default" w:ascii="仿宋_GB2312" w:hAnsi="仿宋_GB2312" w:eastAsia="仿宋_GB2312" w:cs="仿宋_GB2312"/>
          <w:b/>
          <w:bCs/>
          <w:color w:val="000000"/>
          <w:sz w:val="28"/>
          <w:szCs w:val="28"/>
          <w:lang w:val="en-US" w:eastAsia="zh-CN"/>
        </w:rPr>
        <w:t>国际经济与贸易</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进一步区分优化专业体系与改革专业课程的内涵来进行进行描述。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措施进一步支撑目标。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w:t>
      </w:r>
      <w:r>
        <w:rPr>
          <w:rFonts w:hint="eastAsia" w:ascii="仿宋_GB2312" w:hAnsi="仿宋_GB2312" w:eastAsia="仿宋_GB2312" w:cs="仿宋_GB2312"/>
          <w:b w:val="0"/>
          <w:bCs w:val="0"/>
          <w:color w:val="262626"/>
          <w:sz w:val="28"/>
          <w:szCs w:val="28"/>
          <w:lang w:val="en-US" w:eastAsia="zh-CN"/>
        </w:rPr>
        <w:t>到</w:t>
      </w:r>
      <w:r>
        <w:rPr>
          <w:rFonts w:hint="eastAsia" w:ascii="仿宋_GB2312" w:hAnsi="仿宋_GB2312" w:eastAsia="仿宋_GB2312" w:cs="仿宋_GB2312"/>
          <w:b w:val="0"/>
          <w:bCs w:val="0"/>
          <w:color w:val="262626"/>
          <w:sz w:val="28"/>
          <w:szCs w:val="28"/>
        </w:rPr>
        <w:t>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专业课程改革措施与前面现状中存在的问题没有完全对应。比如现状中第3条课程思政覆盖率低，后面措施中未写对应举措。第4条现状中教师参与改革面窄，仅3位老师有课题或者竞赛，但后面措施可以具体写明这方面的应对措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5.没有具体的完成时间，应该具体到每个学年的规划。</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6.</w:t>
      </w:r>
      <w:r>
        <w:rPr>
          <w:rFonts w:hint="eastAsia" w:ascii="仿宋_GB2312" w:hAnsi="仿宋_GB2312" w:eastAsia="仿宋_GB2312" w:cs="仿宋_GB2312"/>
          <w:b w:val="0"/>
          <w:bCs w:val="0"/>
          <w:color w:val="262626"/>
          <w:sz w:val="28"/>
          <w:szCs w:val="28"/>
        </w:rPr>
        <w:t>未分阶段设定目标（"三年内新增数字贸易课程"应明确2025-2027年每年新增几门）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7.</w:t>
      </w:r>
      <w:r>
        <w:rPr>
          <w:rFonts w:hint="eastAsia" w:ascii="仿宋_GB2312" w:hAnsi="仿宋_GB2312" w:eastAsia="仿宋_GB2312" w:cs="仿宋_GB2312"/>
          <w:b w:val="0"/>
          <w:bCs w:val="0"/>
          <w:color w:val="262626"/>
          <w:sz w:val="28"/>
          <w:szCs w:val="28"/>
        </w:rPr>
        <w:t>实训室扩建无预算计划，双师型教师培养缺时间节点（"3年达50%"应细化到年度）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8.</w:t>
      </w:r>
      <w:r>
        <w:rPr>
          <w:rFonts w:hint="eastAsia" w:ascii="仿宋_GB2312" w:hAnsi="仿宋_GB2312" w:eastAsia="仿宋_GB2312" w:cs="仿宋_GB2312"/>
          <w:b w:val="0"/>
          <w:bCs w:val="0"/>
          <w:color w:val="262626"/>
          <w:sz w:val="28"/>
          <w:szCs w:val="28"/>
        </w:rPr>
        <w:t>仅提"课程思政覆盖率低"，未说明当前覆盖率（"仅1/71门课程为思政示范课"）</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9.</w:t>
      </w:r>
      <w:r>
        <w:rPr>
          <w:rFonts w:hint="eastAsia" w:ascii="仿宋_GB2312" w:hAnsi="仿宋_GB2312" w:eastAsia="仿宋_GB2312" w:cs="仿宋_GB2312"/>
          <w:b w:val="0"/>
          <w:bCs w:val="0"/>
          <w:color w:val="262626"/>
          <w:sz w:val="28"/>
          <w:szCs w:val="28"/>
        </w:rPr>
        <w:t>AI应用等前沿目标缺乏校企合作方支持佐证（未列出合作企业名单）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lang w:val="en-US" w:eastAsia="zh-CN"/>
        </w:rPr>
        <w:t>10.</w:t>
      </w:r>
      <w:r>
        <w:rPr>
          <w:rFonts w:hint="eastAsia" w:ascii="仿宋_GB2312" w:hAnsi="仿宋_GB2312" w:eastAsia="仿宋_GB2312" w:cs="仿宋_GB2312"/>
          <w:b w:val="0"/>
          <w:bCs w:val="0"/>
          <w:color w:val="262626"/>
          <w:sz w:val="28"/>
          <w:szCs w:val="28"/>
        </w:rPr>
        <w:t>未明确考核标准（"学生技能提升"需配套考证通过率、竞赛获奖率等指标）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default"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（二）</w:t>
      </w:r>
      <w:r>
        <w:rPr>
          <w:rFonts w:hint="default" w:ascii="仿宋_GB2312" w:hAnsi="仿宋_GB2312" w:eastAsia="仿宋_GB2312" w:cs="仿宋_GB2312"/>
          <w:b/>
          <w:bCs/>
          <w:color w:val="262626"/>
          <w:sz w:val="28"/>
          <w:szCs w:val="28"/>
          <w:lang w:val="en-US" w:eastAsia="zh-CN"/>
        </w:rPr>
        <w:t>审计学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进一步区分优化专业体系与改革专业课程的内涵来进行进行描述。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优化专业体系目标进一步</w:t>
      </w:r>
      <w:r>
        <w:rPr>
          <w:rFonts w:hint="eastAsia" w:ascii="仿宋_GB2312" w:hAnsi="仿宋_GB2312" w:eastAsia="仿宋_GB2312" w:cs="仿宋_GB2312"/>
          <w:b w:val="0"/>
          <w:bCs w:val="0"/>
          <w:color w:val="262626"/>
          <w:sz w:val="28"/>
          <w:szCs w:val="28"/>
          <w:lang w:eastAsia="zh-CN"/>
        </w:rPr>
        <w:t>着力解决</w:t>
      </w:r>
      <w:r>
        <w:rPr>
          <w:rFonts w:hint="eastAsia" w:ascii="仿宋_GB2312" w:hAnsi="仿宋_GB2312" w:eastAsia="仿宋_GB2312" w:cs="仿宋_GB2312"/>
          <w:b w:val="0"/>
          <w:bCs w:val="0"/>
          <w:color w:val="262626"/>
          <w:sz w:val="28"/>
          <w:szCs w:val="28"/>
        </w:rPr>
        <w:t>存在问题与不足。</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4.专业课程改革现状中缺少弱项分析，只写了成果。另外专业课程改革措施写的和前面专业体系改革措施有点像，建议把课程改革措施里的最后一条教师发展的内容放到专业体系中即可。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5.没有具体的完成时间，应该具体到每个学年的规划。</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lang w:val="en-US" w:eastAsia="zh-CN"/>
        </w:rPr>
        <w:t>6.</w:t>
      </w:r>
      <w:r>
        <w:rPr>
          <w:rFonts w:hint="eastAsia" w:ascii="仿宋_GB2312" w:hAnsi="仿宋_GB2312" w:eastAsia="仿宋_GB2312" w:cs="仿宋_GB2312"/>
          <w:b w:val="0"/>
          <w:bCs w:val="0"/>
          <w:color w:val="262626"/>
          <w:sz w:val="28"/>
          <w:szCs w:val="28"/>
        </w:rPr>
        <w:t>量化指标不足：校企合作成果、实验室设备投入、博士引进数量等未明确数据目标。部分措施可行性待验证：“省一流专业”目标缺乏路径规划，案例库应用效果未展示。动态调整机制缺失</w:t>
      </w:r>
      <w:r>
        <w:rPr>
          <w:rFonts w:hint="eastAsia" w:ascii="仿宋_GB2312" w:hAnsi="仿宋_GB2312" w:eastAsia="仿宋_GB2312" w:cs="仿宋_GB2312"/>
          <w:b w:val="0"/>
          <w:bCs w:val="0"/>
          <w:color w:val="262626"/>
          <w:sz w:val="28"/>
          <w:szCs w:val="28"/>
          <w:lang w:eastAsia="zh-CN"/>
        </w:rPr>
        <w:t>：</w:t>
      </w:r>
      <w:r>
        <w:rPr>
          <w:rFonts w:hint="eastAsia" w:ascii="仿宋_GB2312" w:hAnsi="仿宋_GB2312" w:eastAsia="仿宋_GB2312" w:cs="仿宋_GB2312"/>
          <w:b w:val="0"/>
          <w:bCs w:val="0"/>
          <w:color w:val="262626"/>
          <w:sz w:val="28"/>
          <w:szCs w:val="28"/>
        </w:rPr>
        <w:t>未提及如何根据行业变化持续更新课程内容或师资培训计划。</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bCs/>
          <w:color w:val="262626"/>
          <w:sz w:val="28"/>
          <w:szCs w:val="28"/>
          <w:lang w:val="en-US" w:eastAsia="zh-CN"/>
        </w:rPr>
        <w:t>（三）</w:t>
      </w:r>
      <w:r>
        <w:rPr>
          <w:rFonts w:hint="default" w:ascii="仿宋_GB2312" w:hAnsi="仿宋_GB2312" w:eastAsia="仿宋_GB2312" w:cs="仿宋_GB2312"/>
          <w:b/>
          <w:bCs/>
          <w:color w:val="262626"/>
          <w:sz w:val="28"/>
          <w:szCs w:val="28"/>
          <w:lang w:val="en-US" w:eastAsia="zh-CN"/>
        </w:rPr>
        <w:t>材料成型与控制工程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1.专业体系现状及分析仔细值得学习。专业体系优化措施和前面的专业体系目标的内容写的差不多，建议可以在目标中写的简单的可以在后面措施中详细，相似的其中一部分删除。课程体系现状的介绍和后面目标的内容也存在相同情况，可着重放在其中一部分即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2.专业体系方面需融合前沿技术，跨学科协同机制未完全打通。课程改革方面实践教学与企业需求脱节，师资结构失衡。师资结构失衡（双师型教师占比不足10%）。建议后续重点关注</w:t>
      </w:r>
      <w:r>
        <w:rPr>
          <w:rFonts w:hint="default" w:ascii="仿宋_GB2312" w:hAnsi="仿宋_GB2312" w:eastAsia="仿宋_GB2312" w:cs="仿宋_GB2312"/>
          <w:b w:val="0"/>
          <w:bCs w:val="0"/>
          <w:color w:val="262626"/>
          <w:sz w:val="28"/>
          <w:szCs w:val="28"/>
          <w:lang w:val="en-US" w:eastAsia="zh-CN"/>
        </w:rPr>
        <w:t>校企协同的落地性（企业导师实际授课比例）</w:t>
      </w:r>
      <w:r>
        <w:rPr>
          <w:rFonts w:hint="eastAsia" w:ascii="仿宋_GB2312" w:hAnsi="仿宋_GB2312" w:eastAsia="仿宋_GB2312" w:cs="仿宋_GB2312"/>
          <w:b w:val="0"/>
          <w:bCs w:val="0"/>
          <w:color w:val="262626"/>
          <w:sz w:val="28"/>
          <w:szCs w:val="28"/>
          <w:lang w:val="en-US" w:eastAsia="zh-CN"/>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default"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（四）</w:t>
      </w:r>
      <w:r>
        <w:rPr>
          <w:rFonts w:hint="default" w:ascii="仿宋_GB2312" w:hAnsi="仿宋_GB2312" w:eastAsia="仿宋_GB2312" w:cs="仿宋_GB2312"/>
          <w:b/>
          <w:bCs/>
          <w:color w:val="262626"/>
          <w:sz w:val="28"/>
          <w:szCs w:val="28"/>
          <w:lang w:val="en-US" w:eastAsia="zh-CN"/>
        </w:rPr>
        <w:t>机器人工程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进一步区分优化专业体系与改革专业课程的内涵来进行进行描述。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进一步将描述的重点放在后续建设目标与建设措施上。</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4.各部分均按照评分标准来写，第一部分内容写的是专业体系现状和优化措施等，可把专业课程内容的现状和措施删除，因为后面单独又写了专业课程现状和优化措施。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5.在具体的优化措施中应该明确各任务的完成时间，而不是“未来的时间中”这样的宽泛。或者比如签订校企合作协议，是计划或完成了多少家企业等量化数据。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6.校企合作深度不足：仅3家深度合作企业，需拓展行业多样性（医疗机器人、服务机器人领域）。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7.教材开发周期长：行业技术迭代快，建议缩短教材更新周期（1年1次局部修订）。</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8.赛教融合反馈效率：闭环反馈需强化实时性（竞赛后1月内改进教学）。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（五）</w:t>
      </w:r>
      <w:r>
        <w:rPr>
          <w:rFonts w:hint="default" w:ascii="仿宋_GB2312" w:hAnsi="仿宋_GB2312" w:eastAsia="仿宋_GB2312" w:cs="仿宋_GB2312"/>
          <w:b/>
          <w:bCs/>
          <w:color w:val="262626"/>
          <w:sz w:val="28"/>
          <w:szCs w:val="28"/>
          <w:lang w:val="en-US" w:eastAsia="zh-CN"/>
        </w:rPr>
        <w:t>学前教育</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优化专业体系和改革专业课程最好分别进行描述，优化专业体系部分描述不具体。</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专业课程改革目标进一步明确。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4.现状分析比较宽泛，没有结合专业具体内容来写。没有区分专业体系现状和课程改革现状，目标也没有区分分别来写。没有具体的完成时间节点。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5.现状分析中缺少具体数据（理论/实践课程当前比例、学生实践能力测评结果）</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6.资源保障模糊"双师型"教师培养缺少具体培训路径和考核机制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7.评价体系缺失未建立课程改革效果跟踪评估工具（毕业生从业能力追踪）</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bCs/>
          <w:color w:val="262626"/>
          <w:sz w:val="28"/>
          <w:szCs w:val="28"/>
          <w:lang w:val="en-US" w:eastAsia="zh-CN"/>
        </w:rPr>
        <w:t>（六）</w:t>
      </w:r>
      <w:r>
        <w:rPr>
          <w:rFonts w:hint="default" w:ascii="仿宋_GB2312" w:hAnsi="仿宋_GB2312" w:eastAsia="仿宋_GB2312" w:cs="仿宋_GB2312"/>
          <w:b/>
          <w:bCs/>
          <w:color w:val="262626"/>
          <w:sz w:val="28"/>
          <w:szCs w:val="28"/>
          <w:lang w:val="en-US" w:eastAsia="zh-CN"/>
        </w:rPr>
        <w:t>商务英语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优化专业体系现状进一步围绕办学定位和人才培养目标与社会需求适应性，培养方案符合国家标准体现产出导向及人才培养特色等方面情况进行描述。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专业课程改革现状分析进一步提升广度。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进一步具体，如具体建几门一流课程，申报多少教改课题等，有步骤，手段，有负责人等。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4.课程现状分析不够具体，比如课程更新不及时，可以详细写明具体哪几门课程，后续措施针对这些课程又如何改进更新等。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5.课程改革措施中，可以具体一些。比如实施模块化教学里，“设置有针对性的课程群”，可写明课程群的内容。建立动态更新机制里的行业调研报告是否已有成果等。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6.</w:t>
      </w:r>
      <w:r>
        <w:rPr>
          <w:rFonts w:hint="default" w:ascii="仿宋_GB2312" w:hAnsi="仿宋_GB2312" w:eastAsia="仿宋_GB2312" w:cs="仿宋_GB2312"/>
          <w:b w:val="0"/>
          <w:bCs w:val="0"/>
          <w:color w:val="262626"/>
          <w:sz w:val="28"/>
          <w:szCs w:val="28"/>
          <w:lang w:val="en-US" w:eastAsia="zh-CN"/>
        </w:rPr>
        <w:t>课程体系结构性失衡语言类课程占比过高（当前约47.06%），商务核心课程碎片化，新兴领域内容覆盖率不足15%</w:t>
      </w:r>
      <w:r>
        <w:rPr>
          <w:rFonts w:hint="eastAsia" w:ascii="仿宋_GB2312" w:hAnsi="仿宋_GB2312" w:eastAsia="仿宋_GB2312" w:cs="仿宋_GB2312"/>
          <w:b w:val="0"/>
          <w:bCs w:val="0"/>
          <w:color w:val="262626"/>
          <w:sz w:val="28"/>
          <w:szCs w:val="28"/>
          <w:lang w:val="en-US" w:eastAsia="zh-CN"/>
        </w:rPr>
        <w:t>，实践环节集中在毕业学期，缺乏"认知-模拟-实战"递进式设计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7.教师企业挂职计划缺乏考核标准，未明确挂职时长与教学转化要求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8.职业技能证书获取率目标（≥60%）未与课程学分挂钩</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（七）</w:t>
      </w:r>
      <w:r>
        <w:rPr>
          <w:rFonts w:hint="default" w:ascii="仿宋_GB2312" w:hAnsi="仿宋_GB2312" w:eastAsia="仿宋_GB2312" w:cs="仿宋_GB2312"/>
          <w:b/>
          <w:bCs/>
          <w:color w:val="262626"/>
          <w:sz w:val="28"/>
          <w:szCs w:val="28"/>
          <w:lang w:val="en-US" w:eastAsia="zh-CN"/>
        </w:rPr>
        <w:t>工程造价</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优化专业体系进一步围绕办学定位和人才培养目标与社会需求适应性，培养方案符合国家标准体现产出导向及人才培养特色等方面情况进行描述。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专业课程改革现状分析进一步提升广度。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进一步具体，如具体建几门一流课程，申报多少教改课题，建几个实践教学场地等，有步骤，手段，有负责人等。</w:t>
      </w:r>
      <w:r>
        <w:rPr>
          <w:rFonts w:hint="eastAsia" w:ascii="仿宋_GB2312" w:hAnsi="仿宋_GB2312" w:eastAsia="仿宋_GB2312" w:cs="仿宋_GB2312"/>
          <w:b w:val="0"/>
          <w:bCs w:val="0"/>
          <w:color w:val="262626"/>
          <w:sz w:val="28"/>
          <w:szCs w:val="28"/>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w:t>
      </w:r>
      <w:r>
        <w:rPr>
          <w:rFonts w:hint="default" w:ascii="仿宋_GB2312" w:hAnsi="仿宋_GB2312" w:eastAsia="仿宋_GB2312" w:cs="仿宋_GB2312"/>
          <w:b w:val="0"/>
          <w:bCs w:val="0"/>
          <w:color w:val="262626"/>
          <w:sz w:val="28"/>
          <w:szCs w:val="28"/>
          <w:lang w:val="en-US" w:eastAsia="zh-CN"/>
        </w:rPr>
        <w:t>数据支撑不足，量化分析薄弱现状分析缺乏招生、就业、实训基地利用率等关键数据，导致问题归因不深入。</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w:t>
      </w:r>
      <w:r>
        <w:rPr>
          <w:rFonts w:hint="default" w:ascii="仿宋_GB2312" w:hAnsi="仿宋_GB2312" w:eastAsia="仿宋_GB2312" w:cs="仿宋_GB2312"/>
          <w:b w:val="0"/>
          <w:bCs w:val="0"/>
          <w:color w:val="262626"/>
          <w:sz w:val="28"/>
          <w:szCs w:val="28"/>
          <w:lang w:val="en-US" w:eastAsia="zh-CN"/>
        </w:rPr>
        <w:t>目标设定较模糊，缺乏行业对标“技术前沿”“产教融合”等目标未定义具体技术或标准，未参考《工程造价专业国家标准》。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6.</w:t>
      </w:r>
      <w:r>
        <w:rPr>
          <w:rFonts w:hint="default" w:ascii="仿宋_GB2312" w:hAnsi="仿宋_GB2312" w:eastAsia="仿宋_GB2312" w:cs="仿宋_GB2312"/>
          <w:b w:val="0"/>
          <w:bCs w:val="0"/>
          <w:color w:val="262626"/>
          <w:sz w:val="28"/>
          <w:szCs w:val="28"/>
          <w:lang w:val="en-US" w:eastAsia="zh-CN"/>
        </w:rPr>
        <w:t>课程改革深度不足，评价体系创新有限AR/VR技术应用仅停留在概念，未说明如何与教学结合；企业评价权重未显著提升。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default"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（八）</w:t>
      </w:r>
      <w:r>
        <w:rPr>
          <w:rFonts w:hint="default" w:ascii="仿宋_GB2312" w:hAnsi="仿宋_GB2312" w:eastAsia="仿宋_GB2312" w:cs="仿宋_GB2312"/>
          <w:b/>
          <w:bCs/>
          <w:color w:val="262626"/>
          <w:sz w:val="28"/>
          <w:szCs w:val="28"/>
          <w:lang w:val="en-US" w:eastAsia="zh-CN"/>
        </w:rPr>
        <w:t>体育教育</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优化专业体系进一步围绕办学定位和人才培养目标与社会需求适应性，培养方案符合国家标准体现产出导向及人才培养特色等方面情况进行描述。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专业课程改革进一步围绕教学队伍、教学内容、教学条件保障，教学方法与手段、教学研究、课程评价等方面情况进行描述。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w:t>
      </w:r>
      <w:r>
        <w:rPr>
          <w:rFonts w:hint="eastAsia" w:ascii="仿宋_GB2312" w:hAnsi="仿宋_GB2312" w:eastAsia="仿宋_GB2312" w:cs="仿宋_GB2312"/>
          <w:b w:val="0"/>
          <w:bCs w:val="0"/>
          <w:color w:val="262626"/>
          <w:sz w:val="28"/>
          <w:szCs w:val="28"/>
          <w:lang w:val="en-US" w:eastAsia="zh-CN"/>
        </w:rPr>
        <w:t>.</w:t>
      </w:r>
      <w:r>
        <w:rPr>
          <w:rFonts w:hint="eastAsia" w:ascii="仿宋_GB2312" w:hAnsi="仿宋_GB2312" w:eastAsia="仿宋_GB2312" w:cs="仿宋_GB2312"/>
          <w:b w:val="0"/>
          <w:bCs w:val="0"/>
          <w:color w:val="262626"/>
          <w:sz w:val="28"/>
          <w:szCs w:val="28"/>
        </w:rPr>
        <w:t>改革措施</w:t>
      </w:r>
      <w:r>
        <w:rPr>
          <w:rFonts w:hint="eastAsia" w:ascii="仿宋_GB2312" w:hAnsi="仿宋_GB2312" w:eastAsia="仿宋_GB2312" w:cs="仿宋_GB2312"/>
          <w:b w:val="0"/>
          <w:bCs w:val="0"/>
          <w:color w:val="262626"/>
          <w:sz w:val="28"/>
          <w:szCs w:val="28"/>
          <w:lang w:val="en-US" w:eastAsia="zh-CN"/>
        </w:rPr>
        <w:t>要</w:t>
      </w:r>
      <w:r>
        <w:rPr>
          <w:rFonts w:hint="eastAsia" w:ascii="仿宋_GB2312" w:hAnsi="仿宋_GB2312" w:eastAsia="仿宋_GB2312" w:cs="仿宋_GB2312"/>
          <w:b w:val="0"/>
          <w:bCs w:val="0"/>
          <w:color w:val="262626"/>
          <w:sz w:val="28"/>
          <w:szCs w:val="28"/>
        </w:rPr>
        <w:t>进一步具体，如具体建几门一流课程，申报多少教改课题，建几个实践教学场地等，有步骤，手段，有负责人等。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4.专业体系现状方面，可以增加师资情况，已获取成果等内容。具体的目标完成期限也可按照学期或学年具体化。</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5.目标里有评价体系，但措施中未见相应措施。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6.</w:t>
      </w:r>
      <w:r>
        <w:rPr>
          <w:rFonts w:hint="default" w:ascii="仿宋_GB2312" w:hAnsi="仿宋_GB2312" w:eastAsia="仿宋_GB2312" w:cs="仿宋_GB2312"/>
          <w:b w:val="0"/>
          <w:bCs w:val="0"/>
          <w:color w:val="262626"/>
          <w:sz w:val="28"/>
          <w:szCs w:val="28"/>
          <w:lang w:val="en-US" w:eastAsia="zh-CN"/>
        </w:rPr>
        <w:t>课程设置提出理论前沿+教育技术+跨学科融合的立体方案，师资建设包含学历提升+实践锻炼+多元引进的完整路径。但措施中：未说明理论/实践课程调整的具体比例</w:t>
      </w:r>
      <w:r>
        <w:rPr>
          <w:rFonts w:hint="eastAsia" w:ascii="仿宋_GB2312" w:hAnsi="仿宋_GB2312" w:eastAsia="仿宋_GB2312" w:cs="仿宋_GB2312"/>
          <w:b w:val="0"/>
          <w:bCs w:val="0"/>
          <w:color w:val="262626"/>
          <w:sz w:val="28"/>
          <w:szCs w:val="28"/>
          <w:lang w:val="en-US" w:eastAsia="zh-CN"/>
        </w:rPr>
        <w:t>；</w:t>
      </w:r>
      <w:r>
        <w:rPr>
          <w:rFonts w:hint="default" w:ascii="仿宋_GB2312" w:hAnsi="仿宋_GB2312" w:eastAsia="仿宋_GB2312" w:cs="仿宋_GB2312"/>
          <w:b w:val="0"/>
          <w:bCs w:val="0"/>
          <w:color w:val="262626"/>
          <w:sz w:val="28"/>
          <w:szCs w:val="28"/>
          <w:lang w:val="en-US" w:eastAsia="zh-CN"/>
        </w:rPr>
        <w:t>数字化资源库建设缺乏技术标准</w:t>
      </w:r>
      <w:r>
        <w:rPr>
          <w:rFonts w:hint="eastAsia" w:ascii="仿宋_GB2312" w:hAnsi="仿宋_GB2312" w:eastAsia="仿宋_GB2312" w:cs="仿宋_GB2312"/>
          <w:b w:val="0"/>
          <w:bCs w:val="0"/>
          <w:color w:val="262626"/>
          <w:sz w:val="28"/>
          <w:szCs w:val="28"/>
          <w:lang w:val="en-US" w:eastAsia="zh-CN"/>
        </w:rPr>
        <w:t>；</w:t>
      </w:r>
      <w:r>
        <w:rPr>
          <w:rFonts w:hint="default" w:ascii="仿宋_GB2312" w:hAnsi="仿宋_GB2312" w:eastAsia="仿宋_GB2312" w:cs="仿宋_GB2312"/>
          <w:b w:val="0"/>
          <w:bCs w:val="0"/>
          <w:color w:val="262626"/>
          <w:sz w:val="28"/>
          <w:szCs w:val="28"/>
          <w:lang w:val="en-US" w:eastAsia="zh-CN"/>
        </w:rPr>
        <w:t>实习基地评估机制未明确淘汰标准</w:t>
      </w:r>
      <w:r>
        <w:rPr>
          <w:rFonts w:hint="eastAsia" w:ascii="仿宋_GB2312" w:hAnsi="仿宋_GB2312" w:eastAsia="仿宋_GB2312" w:cs="仿宋_GB2312"/>
          <w:b w:val="0"/>
          <w:bCs w:val="0"/>
          <w:color w:val="262626"/>
          <w:sz w:val="28"/>
          <w:szCs w:val="28"/>
          <w:lang w:val="en-US" w:eastAsia="zh-CN"/>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7.量化支撑不足，</w:t>
      </w:r>
      <w:r>
        <w:rPr>
          <w:rFonts w:hint="default" w:ascii="仿宋_GB2312" w:hAnsi="仿宋_GB2312" w:eastAsia="仿宋_GB2312" w:cs="仿宋_GB2312"/>
          <w:b w:val="0"/>
          <w:bCs w:val="0"/>
          <w:color w:val="262626"/>
          <w:sz w:val="28"/>
          <w:szCs w:val="28"/>
          <w:lang w:val="en-US" w:eastAsia="zh-CN"/>
        </w:rPr>
        <w:t>课程调整比例、师资缺口等关键数据缺失，影响措施可信度</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8.</w:t>
      </w:r>
      <w:r>
        <w:rPr>
          <w:rFonts w:hint="default" w:ascii="仿宋_GB2312" w:hAnsi="仿宋_GB2312" w:eastAsia="仿宋_GB2312" w:cs="仿宋_GB2312"/>
          <w:b w:val="0"/>
          <w:bCs w:val="0"/>
          <w:color w:val="262626"/>
          <w:sz w:val="28"/>
          <w:szCs w:val="28"/>
          <w:lang w:val="en-US" w:eastAsia="zh-CN"/>
        </w:rPr>
        <w:t>技术落地模糊</w:t>
      </w:r>
      <w:r>
        <w:rPr>
          <w:rFonts w:hint="eastAsia" w:ascii="仿宋_GB2312" w:hAnsi="仿宋_GB2312" w:eastAsia="仿宋_GB2312" w:cs="仿宋_GB2312"/>
          <w:b w:val="0"/>
          <w:bCs w:val="0"/>
          <w:color w:val="262626"/>
          <w:sz w:val="28"/>
          <w:szCs w:val="28"/>
          <w:lang w:val="en-US" w:eastAsia="zh-CN"/>
        </w:rPr>
        <w:t>，</w:t>
      </w:r>
      <w:r>
        <w:rPr>
          <w:rFonts w:hint="default" w:ascii="仿宋_GB2312" w:hAnsi="仿宋_GB2312" w:eastAsia="仿宋_GB2312" w:cs="仿宋_GB2312"/>
          <w:b w:val="0"/>
          <w:bCs w:val="0"/>
          <w:color w:val="262626"/>
          <w:sz w:val="28"/>
          <w:szCs w:val="28"/>
          <w:lang w:val="en-US" w:eastAsia="zh-CN"/>
        </w:rPr>
        <w:t>VR/AR教学、AI评价等新技术应用缺乏实施路径和预算规划</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9.动态反馈缺失</w:t>
      </w:r>
      <w:r>
        <w:rPr>
          <w:rFonts w:hint="default" w:ascii="仿宋_GB2312" w:hAnsi="仿宋_GB2312" w:eastAsia="仿宋_GB2312" w:cs="仿宋_GB2312"/>
          <w:b w:val="0"/>
          <w:bCs w:val="0"/>
          <w:color w:val="262626"/>
          <w:sz w:val="28"/>
          <w:szCs w:val="28"/>
          <w:lang w:val="en-US" w:eastAsia="zh-CN"/>
        </w:rPr>
        <w:t>未建立课程改革效果的持续监测与迭代机制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bCs/>
          <w:color w:val="262626"/>
          <w:sz w:val="28"/>
          <w:szCs w:val="28"/>
          <w:lang w:val="en-US" w:eastAsia="zh-CN"/>
        </w:rPr>
        <w:t>（九）</w:t>
      </w:r>
      <w:r>
        <w:rPr>
          <w:rFonts w:hint="default" w:ascii="仿宋_GB2312" w:hAnsi="仿宋_GB2312" w:eastAsia="仿宋_GB2312" w:cs="仿宋_GB2312"/>
          <w:b/>
          <w:bCs/>
          <w:color w:val="262626"/>
          <w:sz w:val="28"/>
          <w:szCs w:val="28"/>
          <w:lang w:val="en-US" w:eastAsia="zh-CN"/>
        </w:rPr>
        <w:t>软件工程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1、专业体系现状方面，可以增加师资情况，已获取成果等内容。具体的目标完成措施期限也可按照学期或学年具体化。</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宋体" w:hAnsi="宋体" w:eastAsia="宋体" w:cs="宋体"/>
          <w:sz w:val="24"/>
          <w:szCs w:val="24"/>
          <w:lang w:val="en-US" w:eastAsia="zh-CN"/>
        </w:rPr>
      </w:pPr>
      <w:r>
        <w:rPr>
          <w:rFonts w:hint="eastAsia" w:ascii="仿宋_GB2312" w:hAnsi="仿宋_GB2312" w:eastAsia="仿宋_GB2312" w:cs="仿宋_GB2312"/>
          <w:b w:val="0"/>
          <w:bCs w:val="0"/>
          <w:color w:val="262626"/>
          <w:sz w:val="28"/>
          <w:szCs w:val="28"/>
          <w:lang w:val="en-US" w:eastAsia="zh-CN"/>
        </w:rPr>
        <w:t>2、安排老师到企业实践，可以写明3年安排多少老师，达到多少的覆盖率等。</w:t>
      </w:r>
      <w:r>
        <w:rPr>
          <w:rFonts w:hint="default" w:ascii="仿宋_GB2312" w:hAnsi="仿宋_GB2312" w:eastAsia="仿宋_GB2312" w:cs="仿宋_GB2312"/>
          <w:b w:val="0"/>
          <w:bCs w:val="0"/>
          <w:color w:val="262626"/>
          <w:sz w:val="28"/>
          <w:szCs w:val="28"/>
          <w:lang w:val="en-US" w:eastAsia="zh-CN"/>
        </w:rPr>
        <w:t>与企业合作共建项目实训基地</w:t>
      </w:r>
      <w:r>
        <w:rPr>
          <w:rFonts w:hint="eastAsia" w:ascii="仿宋_GB2312" w:hAnsi="仿宋_GB2312" w:eastAsia="仿宋_GB2312" w:cs="仿宋_GB2312"/>
          <w:b w:val="0"/>
          <w:bCs w:val="0"/>
          <w:color w:val="262626"/>
          <w:sz w:val="28"/>
          <w:szCs w:val="28"/>
          <w:lang w:val="en-US" w:eastAsia="zh-CN"/>
        </w:rPr>
        <w:t>，引进企业人才培训以及组建教师团队活</w:t>
      </w:r>
      <w:r>
        <w:rPr>
          <w:rFonts w:hint="eastAsia" w:ascii="宋体" w:hAnsi="宋体" w:eastAsia="宋体" w:cs="宋体"/>
          <w:sz w:val="24"/>
          <w:szCs w:val="24"/>
          <w:lang w:val="en-US" w:eastAsia="zh-CN"/>
        </w:rPr>
        <w:t>动均可量化目标。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3、未说明实训室改扩建的预算分配及时间节点。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w:t>
      </w:r>
      <w:r>
        <w:rPr>
          <w:rFonts w:hint="eastAsia" w:ascii="仿宋_GB2312" w:hAnsi="仿宋_GB2312" w:eastAsia="仿宋_GB2312" w:cs="仿宋_GB2312"/>
          <w:b w:val="0"/>
          <w:bCs w:val="0"/>
          <w:color w:val="262626"/>
          <w:sz w:val="28"/>
          <w:szCs w:val="28"/>
        </w:rPr>
        <w:t>需补充：</w:t>
      </w:r>
      <w:r>
        <w:rPr>
          <w:rFonts w:hint="eastAsia" w:ascii="仿宋_GB2312" w:hAnsi="仿宋_GB2312" w:eastAsia="仿宋_GB2312" w:cs="仿宋_GB2312"/>
          <w:b w:val="0"/>
          <w:bCs w:val="0"/>
          <w:color w:val="262626"/>
          <w:sz w:val="28"/>
          <w:szCs w:val="28"/>
          <w:lang w:val="en-US" w:eastAsia="zh-CN"/>
        </w:rPr>
        <w:t>现有课程与2024版培养方案的衔接过渡方案。</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5、课程思政与企业项目落地的质量保障机制待细化。</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2" w:firstLineChars="200"/>
        <w:jc w:val="both"/>
        <w:textAlignment w:val="auto"/>
        <w:rPr>
          <w:rFonts w:hint="eastAsia"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（十）</w:t>
      </w:r>
      <w:r>
        <w:rPr>
          <w:rFonts w:hint="default" w:ascii="仿宋_GB2312" w:hAnsi="仿宋_GB2312" w:eastAsia="仿宋_GB2312" w:cs="仿宋_GB2312"/>
          <w:b/>
          <w:bCs/>
          <w:color w:val="262626"/>
          <w:sz w:val="28"/>
          <w:szCs w:val="28"/>
          <w:lang w:val="en-US" w:eastAsia="zh-CN"/>
        </w:rPr>
        <w:t>数字媒体技术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1、改革措施与前面弱项分析不完全对应，例如前面写的问题：</w:t>
      </w:r>
      <w:r>
        <w:rPr>
          <w:rFonts w:hint="default" w:ascii="仿宋_GB2312" w:hAnsi="仿宋_GB2312" w:eastAsia="仿宋_GB2312" w:cs="仿宋_GB2312"/>
          <w:b w:val="0"/>
          <w:bCs w:val="0"/>
          <w:color w:val="262626"/>
          <w:sz w:val="28"/>
          <w:szCs w:val="28"/>
          <w:lang w:val="en-US" w:eastAsia="zh-CN"/>
        </w:rPr>
        <w:t>跨学科交叉融合的广度和深度有待加强</w:t>
      </w:r>
      <w:r>
        <w:rPr>
          <w:rFonts w:hint="eastAsia" w:ascii="仿宋_GB2312" w:hAnsi="仿宋_GB2312" w:eastAsia="仿宋_GB2312" w:cs="仿宋_GB2312"/>
          <w:b w:val="0"/>
          <w:bCs w:val="0"/>
          <w:color w:val="262626"/>
          <w:sz w:val="28"/>
          <w:szCs w:val="28"/>
          <w:lang w:val="en-US" w:eastAsia="zh-CN"/>
        </w:rPr>
        <w:t>，</w:t>
      </w:r>
      <w:r>
        <w:rPr>
          <w:rFonts w:hint="default" w:ascii="仿宋_GB2312" w:hAnsi="仿宋_GB2312" w:eastAsia="仿宋_GB2312" w:cs="仿宋_GB2312"/>
          <w:b w:val="0"/>
          <w:bCs w:val="0"/>
          <w:color w:val="262626"/>
          <w:sz w:val="28"/>
          <w:szCs w:val="28"/>
          <w:lang w:val="en-US" w:eastAsia="zh-CN"/>
        </w:rPr>
        <w:t>案例教学与行业实践结合不够紧密</w:t>
      </w:r>
      <w:r>
        <w:rPr>
          <w:rFonts w:hint="eastAsia" w:ascii="仿宋_GB2312" w:hAnsi="仿宋_GB2312" w:eastAsia="仿宋_GB2312" w:cs="仿宋_GB2312"/>
          <w:b w:val="0"/>
          <w:bCs w:val="0"/>
          <w:color w:val="262626"/>
          <w:sz w:val="28"/>
          <w:szCs w:val="28"/>
          <w:lang w:val="en-US" w:eastAsia="zh-CN"/>
        </w:rPr>
        <w:t>。后面措施中没有明显与之对应的内容。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2、师资结构短板：高学历教师（博士）空缺，新教师占比高且缺乏企业经验，双师型教师质量需提升。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3、课程设计滞后于技术发展：AI、元宇宙等前沿技术未系统纳入课程，企业案例更新缓慢（如影视特效课程仍用传统工具）。</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4、师资质量提升、技术同步性、校企协同机制、硬件投入四大核心问题上补充可落地的细节方案。</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2" w:firstLineChars="200"/>
        <w:jc w:val="both"/>
        <w:textAlignment w:val="auto"/>
        <w:rPr>
          <w:rFonts w:hint="eastAsia"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（十一）</w:t>
      </w:r>
      <w:r>
        <w:rPr>
          <w:rFonts w:hint="default" w:ascii="仿宋_GB2312" w:hAnsi="仿宋_GB2312" w:eastAsia="仿宋_GB2312" w:cs="仿宋_GB2312"/>
          <w:b/>
          <w:bCs/>
          <w:color w:val="262626"/>
          <w:sz w:val="28"/>
          <w:szCs w:val="28"/>
          <w:lang w:val="en-US" w:eastAsia="zh-CN"/>
        </w:rPr>
        <w:t>播音与主持艺术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1、进一步区分优化专业体系与改革专业课程的内涵来进行进行描述。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2、现状分析进一步清晰。</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3、具体改革措施进一步具体，如具体建几门一流课程，申报多少教改课题，建几个实践教学场地等，有步骤，手段，有负责人等。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4、现状分析里可以把现有课程教学成果体现，报告中写的较宽泛，可以结合实际成果来写。</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2" w:firstLineChars="200"/>
        <w:jc w:val="both"/>
        <w:textAlignment w:val="auto"/>
        <w:rPr>
          <w:rFonts w:hint="eastAsia" w:ascii="仿宋_GB2312" w:hAnsi="仿宋_GB2312" w:eastAsia="仿宋_GB2312" w:cs="仿宋_GB2312"/>
          <w:b/>
          <w:bCs/>
          <w:color w:val="262626"/>
          <w:sz w:val="28"/>
          <w:szCs w:val="28"/>
          <w:lang w:val="en-US" w:eastAsia="zh-CN"/>
        </w:rPr>
      </w:pPr>
      <w:r>
        <w:rPr>
          <w:rFonts w:hint="eastAsia" w:ascii="仿宋_GB2312" w:hAnsi="仿宋_GB2312" w:eastAsia="仿宋_GB2312" w:cs="仿宋_GB2312"/>
          <w:b/>
          <w:bCs/>
          <w:color w:val="262626"/>
          <w:sz w:val="28"/>
          <w:szCs w:val="28"/>
          <w:lang w:val="en-US" w:eastAsia="zh-CN"/>
        </w:rPr>
        <w:t>（十二）</w:t>
      </w:r>
      <w:r>
        <w:rPr>
          <w:rFonts w:hint="default" w:ascii="仿宋_GB2312" w:hAnsi="仿宋_GB2312" w:eastAsia="仿宋_GB2312" w:cs="仿宋_GB2312"/>
          <w:b/>
          <w:bCs/>
          <w:color w:val="262626"/>
          <w:sz w:val="28"/>
          <w:szCs w:val="28"/>
          <w:lang w:val="en-US" w:eastAsia="zh-CN"/>
        </w:rPr>
        <w:t>广播电视编导</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1、提供的材料格式要基本规范。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2、现状分析</w:t>
      </w:r>
      <w:r>
        <w:rPr>
          <w:rFonts w:hint="eastAsia" w:ascii="仿宋_GB2312" w:hAnsi="仿宋_GB2312" w:eastAsia="仿宋_GB2312" w:cs="仿宋_GB2312"/>
          <w:b w:val="0"/>
          <w:bCs w:val="0"/>
          <w:color w:val="262626"/>
          <w:sz w:val="28"/>
          <w:szCs w:val="28"/>
          <w:lang w:val="en-US" w:eastAsia="zh-CN"/>
        </w:rPr>
        <w:t>要分析</w:t>
      </w:r>
      <w:r>
        <w:rPr>
          <w:rFonts w:hint="eastAsia" w:ascii="仿宋_GB2312" w:hAnsi="仿宋_GB2312" w:eastAsia="仿宋_GB2312" w:cs="仿宋_GB2312"/>
          <w:b w:val="0"/>
          <w:bCs w:val="0"/>
          <w:color w:val="262626"/>
          <w:sz w:val="28"/>
          <w:szCs w:val="28"/>
        </w:rPr>
        <w:t>自己专业，而不是分析全国</w:t>
      </w:r>
      <w:r>
        <w:rPr>
          <w:rFonts w:hint="eastAsia" w:ascii="仿宋_GB2312" w:hAnsi="仿宋_GB2312" w:eastAsia="仿宋_GB2312" w:cs="仿宋_GB2312"/>
          <w:b w:val="0"/>
          <w:bCs w:val="0"/>
          <w:color w:val="262626"/>
          <w:sz w:val="28"/>
          <w:szCs w:val="28"/>
          <w:lang w:val="en-US" w:eastAsia="zh-CN"/>
        </w:rPr>
        <w:t>的</w:t>
      </w:r>
      <w:r>
        <w:rPr>
          <w:rFonts w:hint="eastAsia" w:ascii="仿宋_GB2312" w:hAnsi="仿宋_GB2312" w:eastAsia="仿宋_GB2312" w:cs="仿宋_GB2312"/>
          <w:b w:val="0"/>
          <w:bCs w:val="0"/>
          <w:color w:val="262626"/>
          <w:sz w:val="28"/>
          <w:szCs w:val="28"/>
        </w:rPr>
        <w:t>情况。整体行文没有针对性，没有认真分析自己专业胡情况，仅从网上片段式复制信息。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3、没有描述改革目标。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eastAsia" w:ascii="仿宋_GB2312" w:hAnsi="仿宋_GB2312" w:eastAsia="仿宋_GB2312" w:cs="仿宋_GB2312"/>
          <w:b w:val="0"/>
          <w:bCs w:val="0"/>
          <w:color w:val="262626"/>
          <w:sz w:val="28"/>
          <w:szCs w:val="28"/>
        </w:rPr>
      </w:pPr>
      <w:r>
        <w:rPr>
          <w:rFonts w:hint="eastAsia" w:ascii="仿宋_GB2312" w:hAnsi="仿宋_GB2312" w:eastAsia="仿宋_GB2312" w:cs="仿宋_GB2312"/>
          <w:b w:val="0"/>
          <w:bCs w:val="0"/>
          <w:color w:val="262626"/>
          <w:sz w:val="28"/>
          <w:szCs w:val="28"/>
        </w:rPr>
        <w:t>4、没有描述主要措施。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Autospacing="0" w:line="440" w:lineRule="exact"/>
        <w:ind w:left="0" w:leftChars="0" w:right="0" w:rightChars="0" w:firstLine="560" w:firstLineChars="200"/>
        <w:jc w:val="both"/>
        <w:textAlignment w:val="auto"/>
        <w:rPr>
          <w:rFonts w:hint="default" w:ascii="仿宋_GB2312" w:hAnsi="仿宋_GB2312" w:eastAsia="仿宋_GB2312" w:cs="仿宋_GB2312"/>
          <w:b w:val="0"/>
          <w:bCs w:val="0"/>
          <w:color w:val="262626"/>
          <w:sz w:val="28"/>
          <w:szCs w:val="28"/>
          <w:lang w:val="en-US" w:eastAsia="zh-CN"/>
        </w:rPr>
      </w:pPr>
      <w:r>
        <w:rPr>
          <w:rFonts w:hint="eastAsia" w:ascii="仿宋_GB2312" w:hAnsi="仿宋_GB2312" w:eastAsia="仿宋_GB2312" w:cs="仿宋_GB2312"/>
          <w:b w:val="0"/>
          <w:bCs w:val="0"/>
          <w:color w:val="262626"/>
          <w:sz w:val="28"/>
          <w:szCs w:val="28"/>
          <w:lang w:val="en-US" w:eastAsia="zh-CN"/>
        </w:rPr>
        <w:t>5、</w:t>
      </w:r>
      <w:r>
        <w:rPr>
          <w:rFonts w:hint="eastAsia" w:ascii="仿宋_GB2312" w:hAnsi="仿宋_GB2312" w:eastAsia="仿宋_GB2312" w:cs="仿宋_GB2312"/>
          <w:b w:val="0"/>
          <w:bCs w:val="0"/>
          <w:color w:val="262626"/>
          <w:sz w:val="28"/>
          <w:szCs w:val="28"/>
          <w:lang w:eastAsia="zh-CN"/>
        </w:rPr>
        <w:t>明显</w:t>
      </w:r>
      <w:r>
        <w:rPr>
          <w:rFonts w:hint="eastAsia" w:ascii="仿宋_GB2312" w:hAnsi="仿宋_GB2312" w:eastAsia="仿宋_GB2312" w:cs="仿宋_GB2312"/>
          <w:b w:val="0"/>
          <w:bCs w:val="0"/>
          <w:color w:val="262626"/>
          <w:sz w:val="28"/>
          <w:szCs w:val="28"/>
          <w:lang w:val="en-US" w:eastAsia="zh-CN"/>
        </w:rPr>
        <w:t>复制</w:t>
      </w:r>
      <w:r>
        <w:rPr>
          <w:rFonts w:hint="eastAsia" w:ascii="仿宋_GB2312" w:hAnsi="仿宋_GB2312" w:eastAsia="仿宋_GB2312" w:cs="仿宋_GB2312"/>
          <w:b w:val="0"/>
          <w:bCs w:val="0"/>
          <w:color w:val="262626"/>
          <w:sz w:val="28"/>
          <w:szCs w:val="28"/>
          <w:lang w:eastAsia="zh-CN"/>
        </w:rPr>
        <w:t>得来，</w:t>
      </w:r>
      <w:r>
        <w:rPr>
          <w:rFonts w:hint="eastAsia" w:ascii="仿宋_GB2312" w:hAnsi="仿宋_GB2312" w:eastAsia="仿宋_GB2312" w:cs="仿宋_GB2312"/>
          <w:b w:val="0"/>
          <w:bCs w:val="0"/>
          <w:color w:val="262626"/>
          <w:sz w:val="28"/>
          <w:szCs w:val="28"/>
          <w:lang w:val="en-US" w:eastAsia="zh-CN"/>
        </w:rPr>
        <w:t>复制后</w:t>
      </w:r>
      <w:r>
        <w:rPr>
          <w:rFonts w:hint="eastAsia" w:ascii="仿宋_GB2312" w:hAnsi="仿宋_GB2312" w:eastAsia="仿宋_GB2312" w:cs="仿宋_GB2312"/>
          <w:b w:val="0"/>
          <w:bCs w:val="0"/>
          <w:color w:val="262626"/>
          <w:sz w:val="28"/>
          <w:szCs w:val="28"/>
          <w:lang w:eastAsia="zh-CN"/>
        </w:rPr>
        <w:t>连排版格式都混乱</w:t>
      </w:r>
      <w:r>
        <w:rPr>
          <w:rFonts w:hint="eastAsia" w:ascii="仿宋_GB2312" w:hAnsi="仿宋_GB2312" w:eastAsia="仿宋_GB2312" w:cs="仿宋_GB2312"/>
          <w:b w:val="0"/>
          <w:bCs w:val="0"/>
          <w:color w:val="262626"/>
          <w:sz w:val="28"/>
          <w:szCs w:val="28"/>
          <w:lang w:val="en-US" w:eastAsia="zh-CN"/>
        </w:rPr>
        <w:t>没有调整。内容没有具体的规划目标年限，措施不够具体。</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ZGNkODA4YjVkY2ExZWM4MWYxNzM0Y2JmYmU0M2YifQ=="/>
  </w:docVars>
  <w:rsids>
    <w:rsidRoot w:val="7A8C662A"/>
    <w:rsid w:val="03C431E6"/>
    <w:rsid w:val="0A4B7E76"/>
    <w:rsid w:val="0CBC4D92"/>
    <w:rsid w:val="0F365DE0"/>
    <w:rsid w:val="1DC51777"/>
    <w:rsid w:val="211D3C0E"/>
    <w:rsid w:val="22AD1590"/>
    <w:rsid w:val="27FA4970"/>
    <w:rsid w:val="2EB07E70"/>
    <w:rsid w:val="33FD0CE5"/>
    <w:rsid w:val="367808E3"/>
    <w:rsid w:val="3D710777"/>
    <w:rsid w:val="3EBB2664"/>
    <w:rsid w:val="429C09DF"/>
    <w:rsid w:val="44562F68"/>
    <w:rsid w:val="44B87626"/>
    <w:rsid w:val="451A3E3D"/>
    <w:rsid w:val="484F6ECA"/>
    <w:rsid w:val="491851B6"/>
    <w:rsid w:val="4A332CAD"/>
    <w:rsid w:val="4DCD1FD4"/>
    <w:rsid w:val="517C5636"/>
    <w:rsid w:val="52CB14BF"/>
    <w:rsid w:val="5B123195"/>
    <w:rsid w:val="5D535CE6"/>
    <w:rsid w:val="62402CDD"/>
    <w:rsid w:val="6B430281"/>
    <w:rsid w:val="6E622A72"/>
    <w:rsid w:val="716F713B"/>
    <w:rsid w:val="7A8C662A"/>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34"/>
    <w:pPr>
      <w:spacing w:afterLines="50" w:line="500" w:lineRule="exact"/>
      <w:ind w:left="420"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4310</Words>
  <Characters>4415</Characters>
  <Lines>0</Lines>
  <Paragraphs>0</Paragraphs>
  <TotalTime>11</TotalTime>
  <ScaleCrop>false</ScaleCrop>
  <LinksUpToDate>false</LinksUpToDate>
  <CharactersWithSpaces>4418</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2023-06-22T23:53:00Z</dcterms:created>
  <dc:creator>封玲</dc:creator>
  <cp:lastModifiedBy>zl</cp:lastModifiedBy>
  <dcterms:modified xsi:type="dcterms:W3CDTF">2025-07-01T02:40:50Z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99E22181374342488F7D02CD97C28D70_11</vt:lpwstr>
  </property>
  <property fmtid="{D5CDD505-2E9C-101B-9397-08002B2CF9AE}" pid="4" name="KSOTemplateDocerSaveRecord">
    <vt:lpwstr>eyJoZGlkIjoiMWYwMGZhNDQ2YTA3OTNhZGVmN2VlMjUzMjE2Mjg0MzMifQ==</vt:lpwstr>
  </property>
</Properties>
</file>