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项目八：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《</w:t>
      </w: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专业整改报告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》</w:t>
      </w:r>
    </w:p>
    <w:p>
      <w:pPr>
        <w:jc w:val="center"/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</w:pPr>
    </w:p>
    <w:p>
      <w:pPr>
        <w:jc w:val="center"/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专家评审意见和建议</w:t>
      </w:r>
    </w:p>
    <w:p>
      <w:pPr>
        <w:jc w:val="center"/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bookmarkStart w:id="0" w:name="_GoBack"/>
      <w:bookmarkEnd w:id="0"/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5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年 6月，学校组织专家评审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了环境设计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英语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、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机械设计制造及其自动化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电子信息工程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会计学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大数据管理与应用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土木工程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、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思想政治教育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共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8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 个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本科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专业的专业建设整改报告，依据专业整改报告评分表的各项标准，指出其中存在的主要问题、提出整改建议。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0" w:firstLineChars="300"/>
        <w:jc w:val="left"/>
        <w:textAlignment w:val="auto"/>
      </w:pPr>
      <w:r>
        <w:rPr>
          <w:rFonts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一、专业整改报告总体评审情况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学校专家本次对8个本专业整改报告进行评审，各专业整改报告围绕前期发现的主要问题，如教学质量、师资队伍、教学设施等问题展开，对整改工作的目标、措施、计划及责任人等进行了详细阐述，整体结构较为清晰，内容较为全面，完成比较好的有思想政治教育、环境设计两个专业，列出的问题比较详细，有具体的数据对比，整改计划安排得当，有具体的举措，可操作性强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0" w:firstLineChars="300"/>
        <w:jc w:val="left"/>
        <w:textAlignment w:val="auto"/>
        <w:rPr>
          <w:rFonts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各专业整改报告问题清单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专家按照整改的针对性、全面性、计划性和可操作性，对各专业整改报告进行检查，检查中发现的具体问题如下: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3" w:firstLineChars="3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（1）环境设计专业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0" w:firstLineChars="3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1、专业特色凝练与差异化不足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虽提出 “环境设计 +” 方向，但未明确具体地域文化特色（如江西红色文旅、景德镇陶瓷文化）的深度融入方案。建议结合婺源古村落保护、南昌城市更新等地方项目，开发特色课程群，形成 “地域文化 + 数字技术” 的独特标签。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0" w:firstLineChars="3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2、科研与教学成果层级偏低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科研成果以省级论文为主，缺乏国家级项目或高影响因子期刊论文。需组建跨学科团队申报教育部人文社科项目或文旅部课题，将科研成果转化为教学案例（如将绿色建筑研究融入《参数化设计》课程）。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0" w:firstLineChars="3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3、实践基地深度合作不足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校企合作多停留在实习层面，缺乏共建实验室或联合研发项目。建议与省内龙头企业（如江西现代家居产业园）共建 “数字设计研发中心”，开展家具数字化设计、智能空间规划等实战项目，提升学生就业匹配度。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0" w:firstLineChars="3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4、课程体系前沿性覆盖不全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绿色建筑、智慧城市等前沿领域课程开设不足，《参数化设计》等课程尚未落地。需 2026 年前新增《BIM 环境设计应用》《可持续设计策略》等课程，引入 Rhino、Grasshopper 等工具教学，对接行业标准。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3" w:firstLineChars="300"/>
        <w:jc w:val="left"/>
        <w:textAlignment w:val="auto"/>
        <w:rPr>
          <w:rFonts w:hint="default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（2）英语专业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0" w:firstLineChars="3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1、师资结构与科研能力待提升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0" w:firstLineChars="3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高级职称教师占比不足（副教授及以上仅 16 人），博士比例 21.4%，与 “博士占比 50%” 的目标差距较大。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0" w:firstLineChars="3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科研产出指标偏低（专任教师人均年发表核心期刊论文仅 0.2 篇），且省级以上教学成果奖缺失，需强化科研激励机制。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0" w:firstLineChars="3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2、课程特色与前沿性不足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翻译类课程仅占 8%（如笔译、口译各 1 门），跨文化交际、AI 辅助翻译等前沿内容融入较少，与行业需求对接不够紧密。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校本教材建设薄弱（仅 2 本自编教材），未形成具有专业特色的教材体系。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0" w:firstLineChars="3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3、实践基地深度合作不足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校外实习基地数量虽多（如提及与培训机构合作），但缺乏与头部企业（如跨境电商、国际会展公司）的深度项目合作，实习岗位技术含量待提升。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毕业生就业中教育行业占比过高（78.72%），翻译、商务等方向就业数据不足，需优化就业引导。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0" w:firstLineChars="3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4、国际化元素渗透有限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课程中国际化内容（如国际商务规则、跨文化管理）较少，海外研修教师比例不足 10%，与 “国际化视野” 培养目标不匹配。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机械设计制造及其自动化专业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1、部分整改措施深度不足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产教融合落地性：虽提及共建产业学院，但未明确企业参与课程比例、实习岗位类型（如是否覆盖核心技术岗位），建议补充企业项目嵌入教学的具体案例（如某企业生产线改造项目进课堂）。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科研成果转化：鼓励师生联合发表论文、申请专利，但缺乏成果转化激励机制（如专利收益分配比例），可参考 “技术转让收益 70% 归团队” 等量化政策。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2、教学改革细节待强化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课程体系优化：新增 AI 智慧课程、校企合作课程，但未说明如何衔接传统课程（如《机械制造基础》与 AI 课程的知识衔接点），建议绘制课程群知识图谱。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实践教学：实验室设备维护仅提及 “期末统一维护”，可能影响学期中实验开出率，建议建立 “月度巡检 + 故障实时报修” 机制，并公示维护记录。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3、特色与认证工作进度模糊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ASSIN 认证准备工作未明确各阶段节点（如自评报告提交时间、专家进校日期），建议参照工程教育认证流程，制定里程碑计划（如 2025 年 9 月完成自评报告初稿）。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特色方向（如新能源智能装备）的科研团队成果（如专利、论文）未设定年度目标，可补充 “2026 年发表 SCI/EI 论文 3-5 篇，申请发明专利 2 项” 等指标。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4、学生发展支持机制需细化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第一志愿报考率未达标问题，仅强调 “报告率 100%”，未分析报考率低的原因（如专业宣传不足、就业竞争力弱），建议增加专业宣讲会频次、发布就业质量报告（如毕业生平均起薪、对口就业率）。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学生科研参与度提升措施中，“学术沙龙” 月度活动未明确主题范围（如是否覆盖学科前沿技术），可结合企业需求设定选题（如 “工业机器人故障诊断” 案例研讨）。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电子信息工程专业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1、整改深度与细节有待加强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firstLine="280" w:firstLineChars="1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专业定位宣传：虽提及多维度渗透专业理念，但缺乏具体实施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效果的数据支撑（如教师培训覆盖率、学生认知调研结果）。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校外实习基地：计划与 1-2 家企业合作办学，但未明确企业类型、合作模式（如订单班、共建课程）及预期成果，可操作性需细化。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2、部分整改措施落地性不足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科研普遍性提升：仅提及组建团队和任务驱动，未说明如何保障普通教师参与度，缺乏量化指标（如年度课题申报目标、科研成果产出计划）。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设备维护：故障设备 “期末统一维护” 可能影响学期中实验开出率，建议建立动态维护机制（如月度巡检）。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3、特色与认证工作进度模糊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ASSIN 认证准备工作启动时间（2024 年 3 月）与完成时间（2025 年底）间隔较长，未明确各阶段里程碑任务（如自评报告提交、专家进校时间），进度管理需强化。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4、立德树人成效缺乏量化目标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鼓励教师申报思政奖励的措施较笼统，可设定具体目标（如每年申报 X 项，三年内获省级奖励 1 项），增强可考核性。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会计学专业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教学改革深度不足，前沿技术融入有限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虽提及数智化课程改革，但《工业企业综合模拟实训》仍以手工记账为主，与行业主流 ERP 系统脱节。建议 2026 年前淘汰过时实训内容，引入金蝶云星空、用友 U8 等最新财务软件实训模块。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智能财务相关课程（如大数据财务分析、财务机器人应用）开设不足，需新增至少 2 门前沿课程，联合企业开发案例库（如上市公司财务大数据分析案例）。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2、科研与教学成果转化薄弱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教师科研产出目标偏低（5 年 15 篇核心论文），且缺乏国家级项目支撑。建议设立科研激励基金，对主持国家级课题教师给予配套奖励，组建跨学科科研团队申报财政部、国家社科基金项目。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教学成果奖培育不足，需以 “数智化会计人才培养” 为主题，整合校企合作成果，提前 3 年培育省级教学成果奖申报材料。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3、实践基地建设层次不高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现有 13 个实训室设备使用年限超 10 年，财务实训软件版本落后。需申请专项经费，2026 年前完成会计模拟实验室整体升级，引入智能纳税申报、财务风控等云平台。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校企合作停留在课程共建层面，缺乏深度项目合作（如共建财务共享服务中心）。建议与省内龙头企业（如江铃集团）共建实习基地，开展 “顶岗实习 + 毕业设计” 一体化项目。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4、质量跟踪与评价机制粗放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教学督导整改效果评估仅依赖分数提升，未建立多维度评价体系（如学生就业率、企业满意度）。需设计 “教学 - 实践 - 就业” 联动评估表，每学期发布质量报告。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毕业生跟踪调查缺失，建议从 2025 届起建立校友数据库，每年开展用人单位走访，收集岗位技能需求反馈，动态调整课程设置。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大数据管理与应用专业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1、师资高层次人才与科研短板明显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博士占比 23.8%，距 30% 目标有差距，且无国家级科研项目，省级课题仅 5 项。需加大博士引进力度（如提供安家费 + 科研启动金），组建科研团队申报省级以上项目。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教师科研成果少，建议设立 “科研积分制”，将横向课题、专利转化纳入考核，激励教师参与企业技术研发。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2、课程前沿性与教材建设滞后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智能建造、区块链等前沿课程尚未系统开设，《大数据基础与应用》案例库开发进度仅 50%。需联合广联达等企业开发《数字孪生技术应用》等课程，2026 年前完成案例库更新。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教材出版为 0，计划 2030 年前编写 2 本，但缺乏具体激励措施。建议将教材编写纳入职称评审加分项，组建校企联合编写团队。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3、实践基地深度合作不足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现有 6 家实习基地均为校级，缺乏省级优质资源，且合作形式单一（多为参观实习）。需重点建设 1-2 家省级基地，开展 “订单班” 培养（如与新道科技共建大数据分析方向）。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学生实习时长不足，需制定 “跨学期全流程项目”（如 8 周企业实战），企业导师参与评分占比不低于 30%。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4、质量跟踪与社会声誉建设薄弱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毕业生跟踪机制尚未建立，无就业关联度数据。需从 2025 届起建立校友数据库，每年开展用人单位调研，发布《就业质量报告》。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专业特色（如 “农业大数据” 方向）宣传不足，建议通过学科竞赛、企业合作成果发布会提升社会认可度。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（7）土木工程专业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1、师资高层次人才短缺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博士占比 14.8%，低于 20% 的标准，且科研团队力量薄弱（未提及国家级项目或高影响论文）。需加大高层次人才引进力度，如制定 “博士引进专项补贴”，目标 3 年内博士比例达 25%。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2、教材与科研成果不足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现有教材出版为 0，《钢结构技术》等教材建设进度仅 50%，需建立教材编写激励机制（如将教材成果纳入职称评审加分）。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教师科研积极性低，建议设立 “横向课题专项奖励”，对企业合作项目给予经费配套，提升科研产出。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3、课程体系前沿性待强化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智能建造相关课程占比不足 30%，“数字孪生”“机器人施工” 等前沿内容尚未系统融入。需新增《智能施工技术》《建筑大数据分析》等课程，与广联达等企业共建课程案例库。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4、学生科研参与度低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学生科研参与机制缺乏量化指标（如每年参与科研项目的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师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生比例），建议设立 “本科生科研基金”，资助 5-10 项学生自主课题，成果纳入学分认定。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（8）思政政治教育专业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1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数据对比不明显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可增加问题优先级矩阵图（如按紧急/重要程度分类）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;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建议补充各问题的归因分析数据（如师资博士比例不足的历年对比）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2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整改报告不够全面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建议补充"课程思政专项建设方案"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;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可增加"意识形态风险防控"独立模块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;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需明确国际交流合作的具体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详细的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规划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3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整改计划具体举措不够详细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建议补充甘特图展示多任务并行关系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;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需细化季度里程碑节点（如每季度应完成的指标）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;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可增加资源投入的阶段性分配计划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4、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整改操作性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不强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建议补充风险预案（如人才引进失败应对措施）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;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需明确跨部门协作流程（如学工-教务联动机制）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;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可增加典型工作流程图（如科研课题申报流程）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840" w:firstLineChars="300"/>
        <w:jc w:val="left"/>
        <w:textAlignment w:val="auto"/>
        <w:rPr>
          <w:rFonts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整改建议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各专业的整改报告格式还需进一步规范。整改报告整体排版应较为整洁、美观，章节划分合理，标题层级清晰，便于阅读和理解。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专业负责人要承担起专业建设的主导作用，要纵览全局，对集中的问题和矛盾点逐个击破，对专业历年各项数据要十分清楚，尽量用图表的方式来列举典型问题。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要抓柱目前学校专业建设的主要任务开展工作，比如在课程建设方面，产教融合、OBE课程教学改革、课程思政示范课等，在教学竞赛方面，有教创赛、虚拟现实比赛等，很多整改报告里面完全没有涉及，建议补充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对于长期计划的具体实施步骤与时间节点安排略显模糊。虽然提出了诸如课程体系优化、实践教学平台升级等长期任务，但缺乏细致的年度或阶段性的详细计划，难以清晰界定在不同时间段内应完成的具体工作内容与成果指标，这可能导致在执行过程中出现任务进度难以把控、资源分配不均等问题，影响长期计划的有效推进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1D5652"/>
    <w:multiLevelType w:val="singleLevel"/>
    <w:tmpl w:val="931D565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C5F4BE6"/>
    <w:multiLevelType w:val="singleLevel"/>
    <w:tmpl w:val="CC5F4BE6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2BA26824"/>
    <w:multiLevelType w:val="singleLevel"/>
    <w:tmpl w:val="2BA2682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82E333A"/>
    <w:multiLevelType w:val="singleLevel"/>
    <w:tmpl w:val="782E333A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iZGNkODA4YjVkY2ExZWM4MWYxNzM0Y2JmYmU0M2YifQ=="/>
  </w:docVars>
  <w:rsids>
    <w:rsidRoot w:val="00000000"/>
    <w:rsid w:val="032F04D8"/>
    <w:rsid w:val="04513203"/>
    <w:rsid w:val="05CD222A"/>
    <w:rsid w:val="065D535C"/>
    <w:rsid w:val="08C43471"/>
    <w:rsid w:val="0B703F6E"/>
    <w:rsid w:val="0CD67C16"/>
    <w:rsid w:val="168F66FB"/>
    <w:rsid w:val="16DF591A"/>
    <w:rsid w:val="1A9544D2"/>
    <w:rsid w:val="1AFE6CB6"/>
    <w:rsid w:val="1C1442B7"/>
    <w:rsid w:val="251D41DD"/>
    <w:rsid w:val="28BC3D0D"/>
    <w:rsid w:val="2BB70D58"/>
    <w:rsid w:val="2BEE68D3"/>
    <w:rsid w:val="2FAC6889"/>
    <w:rsid w:val="30125D03"/>
    <w:rsid w:val="331B78FA"/>
    <w:rsid w:val="3BC9431F"/>
    <w:rsid w:val="3BFF41E4"/>
    <w:rsid w:val="3E846C23"/>
    <w:rsid w:val="3EF5058E"/>
    <w:rsid w:val="40B841A9"/>
    <w:rsid w:val="46E464B1"/>
    <w:rsid w:val="48FC43E1"/>
    <w:rsid w:val="4AB64608"/>
    <w:rsid w:val="52770B21"/>
    <w:rsid w:val="538F3C48"/>
    <w:rsid w:val="54F70A7E"/>
    <w:rsid w:val="56004989"/>
    <w:rsid w:val="57935BBE"/>
    <w:rsid w:val="5BBC1352"/>
    <w:rsid w:val="5C403D31"/>
    <w:rsid w:val="5D753EAF"/>
    <w:rsid w:val="5DF94AE0"/>
    <w:rsid w:val="5E524F77"/>
    <w:rsid w:val="5F4955F3"/>
    <w:rsid w:val="64EC079F"/>
    <w:rsid w:val="6817628E"/>
    <w:rsid w:val="6974326C"/>
    <w:rsid w:val="69AA3132"/>
    <w:rsid w:val="701337DF"/>
    <w:rsid w:val="709D754D"/>
    <w:rsid w:val="729D4CC8"/>
    <w:rsid w:val="73246863"/>
    <w:rsid w:val="77411ABF"/>
    <w:rsid w:val="780A371A"/>
    <w:rsid w:val="79231957"/>
    <w:rsid w:val="7A862E00"/>
    <w:rsid w:val="7B2368A0"/>
    <w:rsid w:val="7CBB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4442</Words>
  <Characters>4572</Characters>
  <Lines>0</Lines>
  <Paragraphs>0</Paragraphs>
  <TotalTime>1</TotalTime>
  <ScaleCrop>false</ScaleCrop>
  <LinksUpToDate>false</LinksUpToDate>
  <CharactersWithSpaces>4727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zl</cp:lastModifiedBy>
  <dcterms:modified xsi:type="dcterms:W3CDTF">2025-07-01T02:38:51Z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KSOTemplateDocerSaveRecord">
    <vt:lpwstr>eyJoZGlkIjoiMTBiYzI5MDQ3NWQ1ZjE4YjcxMTIyN2JiOWYwNTJjOTUiLCJ1c2VySWQiOiI2NzUwNjUxNjQifQ==</vt:lpwstr>
  </property>
  <property fmtid="{D5CDD505-2E9C-101B-9397-08002B2CF9AE}" pid="4" name="ICV">
    <vt:lpwstr>F1F23474D09E4ECEA88B21F985A8348D_12</vt:lpwstr>
  </property>
</Properties>
</file>