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宋体" w:hAnsi="宋体"/>
          <w:sz w:val="21"/>
          <w:szCs w:val="21"/>
          <w:lang w:eastAsia="zh-CN"/>
        </w:rPr>
      </w:pPr>
      <w:r>
        <w:rPr>
          <w:rFonts w:hint="eastAsia" w:ascii="宋体" w:hAnsi="宋体"/>
          <w:sz w:val="21"/>
          <w:szCs w:val="21"/>
          <w:lang w:eastAsia="zh-CN"/>
        </w:rPr>
        <w:t>附件4：</w:t>
      </w:r>
    </w:p>
    <w:p>
      <w:pPr>
        <w:jc w:val="center"/>
        <w:rPr>
          <w:rFonts w:ascii="黑体" w:eastAsia="黑体"/>
          <w:b/>
          <w:sz w:val="36"/>
          <w:szCs w:val="36"/>
        </w:rPr>
      </w:pPr>
      <w:r>
        <w:rPr>
          <w:rFonts w:hint="eastAsia" w:ascii="黑体" w:eastAsia="黑体"/>
          <w:b/>
          <w:sz w:val="36"/>
          <w:szCs w:val="36"/>
        </w:rPr>
        <w:t>南昌工学院教学改革课程评审指标体系</w:t>
      </w:r>
    </w:p>
    <w:p>
      <w:pPr>
        <w:widowControl/>
        <w:spacing w:line="480" w:lineRule="auto"/>
        <w:ind w:firstLine="618"/>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1．评审说明</w:t>
      </w:r>
    </w:p>
    <w:p>
      <w:pPr>
        <w:widowControl/>
        <w:spacing w:line="480" w:lineRule="auto"/>
        <w:ind w:firstLine="618"/>
        <w:rPr>
          <w:rFonts w:ascii="仿宋_GB2312" w:hAnsi="宋体" w:eastAsia="仿宋_GB2312" w:cs="宋体"/>
          <w:color w:val="000000"/>
          <w:kern w:val="0"/>
          <w:sz w:val="28"/>
          <w:szCs w:val="28"/>
        </w:rPr>
      </w:pPr>
      <w:r>
        <w:rPr>
          <w:rFonts w:hint="eastAsia" w:ascii="仿宋_GB2312" w:hAnsi="宋体" w:eastAsia="仿宋_GB2312"/>
          <w:color w:val="000000"/>
          <w:kern w:val="0"/>
          <w:sz w:val="28"/>
          <w:szCs w:val="28"/>
        </w:rPr>
        <w:t>本评审指标采用百分制记分。其中，一级指标一至六项占总分的100%，“特色及政策支持”项为附加分。评价等级分为五档，系数分别为1.0、0.8、0.6、0.4、0.2。</w:t>
      </w:r>
    </w:p>
    <w:p>
      <w:pPr>
        <w:widowControl/>
        <w:spacing w:line="480" w:lineRule="auto"/>
        <w:ind w:firstLine="618"/>
        <w:rPr>
          <w:rFonts w:ascii="仿宋_GB2312" w:hAnsi="宋体" w:eastAsia="仿宋_GB2312"/>
          <w:color w:val="000000"/>
          <w:kern w:val="0"/>
          <w:sz w:val="28"/>
          <w:szCs w:val="28"/>
        </w:rPr>
      </w:pPr>
      <w:r>
        <w:rPr>
          <w:rFonts w:hint="eastAsia" w:ascii="仿宋_GB2312" w:eastAsia="仿宋_GB2312"/>
          <w:color w:val="000000"/>
          <w:kern w:val="0"/>
          <w:sz w:val="28"/>
          <w:szCs w:val="28"/>
        </w:rPr>
        <w:t>2．评审指标及内涵</w:t>
      </w:r>
    </w:p>
    <w:tbl>
      <w:tblPr>
        <w:tblStyle w:val="5"/>
        <w:tblW w:w="9421" w:type="dxa"/>
        <w:jc w:val="center"/>
        <w:tblInd w:w="0" w:type="dxa"/>
        <w:tblLayout w:type="fixed"/>
        <w:tblCellMar>
          <w:top w:w="0" w:type="dxa"/>
          <w:left w:w="0" w:type="dxa"/>
          <w:bottom w:w="0" w:type="dxa"/>
          <w:right w:w="0" w:type="dxa"/>
        </w:tblCellMar>
      </w:tblPr>
      <w:tblGrid>
        <w:gridCol w:w="574"/>
        <w:gridCol w:w="564"/>
        <w:gridCol w:w="838"/>
        <w:gridCol w:w="4677"/>
        <w:gridCol w:w="512"/>
        <w:gridCol w:w="451"/>
        <w:gridCol w:w="451"/>
        <w:gridCol w:w="451"/>
        <w:gridCol w:w="451"/>
        <w:gridCol w:w="452"/>
      </w:tblGrid>
      <w:tr>
        <w:tblPrEx>
          <w:tblLayout w:type="fixed"/>
          <w:tblCellMar>
            <w:top w:w="0" w:type="dxa"/>
            <w:left w:w="0" w:type="dxa"/>
            <w:bottom w:w="0" w:type="dxa"/>
            <w:right w:w="0" w:type="dxa"/>
          </w:tblCellMar>
        </w:tblPrEx>
        <w:trPr>
          <w:cantSplit/>
          <w:trHeight w:val="360" w:hRule="atLeast"/>
          <w:jc w:val="center"/>
        </w:trPr>
        <w:tc>
          <w:tcPr>
            <w:tcW w:w="574" w:type="dxa"/>
            <w:vMerge w:val="restart"/>
            <w:tcBorders>
              <w:top w:val="single" w:color="auto" w:sz="8"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一级指标</w:t>
            </w:r>
          </w:p>
        </w:tc>
        <w:tc>
          <w:tcPr>
            <w:tcW w:w="564" w:type="dxa"/>
            <w:vMerge w:val="restart"/>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二级</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指标</w:t>
            </w:r>
          </w:p>
        </w:tc>
        <w:tc>
          <w:tcPr>
            <w:tcW w:w="838" w:type="dxa"/>
            <w:vMerge w:val="restart"/>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主 </w:t>
            </w:r>
            <w:r>
              <w:rPr>
                <w:rFonts w:hint="eastAsia" w:ascii="仿宋_GB2312" w:eastAsia="仿宋_GB2312"/>
                <w:color w:val="000000"/>
                <w:kern w:val="0"/>
              </w:rPr>
              <w:t> </w:t>
            </w:r>
            <w:r>
              <w:rPr>
                <w:rFonts w:hint="eastAsia" w:ascii="仿宋_GB2312" w:eastAsia="仿宋_GB2312"/>
                <w:color w:val="000000"/>
                <w:kern w:val="0"/>
                <w:szCs w:val="21"/>
              </w:rPr>
              <w:t>要</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观测点</w:t>
            </w:r>
          </w:p>
        </w:tc>
        <w:tc>
          <w:tcPr>
            <w:tcW w:w="4677" w:type="dxa"/>
            <w:vMerge w:val="restart"/>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评审标准</w:t>
            </w:r>
          </w:p>
        </w:tc>
        <w:tc>
          <w:tcPr>
            <w:tcW w:w="512" w:type="dxa"/>
            <w:vMerge w:val="restart"/>
            <w:tcBorders>
              <w:top w:val="single" w:color="auto" w:sz="8" w:space="0"/>
              <w:left w:val="nil"/>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分值</w:t>
            </w:r>
          </w:p>
        </w:tc>
        <w:tc>
          <w:tcPr>
            <w:tcW w:w="2256" w:type="dxa"/>
            <w:gridSpan w:val="5"/>
            <w:tcBorders>
              <w:top w:val="single" w:color="auto" w:sz="8" w:space="0"/>
              <w:left w:val="nil"/>
              <w:bottom w:val="single" w:color="auto" w:sz="8" w:space="0"/>
              <w:right w:val="single" w:color="auto" w:sz="8" w:space="0"/>
            </w:tcBorders>
            <w:vAlign w:val="top"/>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评价等级</w:t>
            </w:r>
          </w:p>
        </w:tc>
      </w:tr>
      <w:tr>
        <w:tblPrEx>
          <w:tblLayout w:type="fixed"/>
          <w:tblCellMar>
            <w:top w:w="0" w:type="dxa"/>
            <w:left w:w="0" w:type="dxa"/>
            <w:bottom w:w="0" w:type="dxa"/>
            <w:right w:w="0" w:type="dxa"/>
          </w:tblCellMar>
        </w:tblPrEx>
        <w:trPr>
          <w:cantSplit/>
          <w:trHeight w:val="311" w:hRule="atLeast"/>
          <w:jc w:val="center"/>
        </w:trPr>
        <w:tc>
          <w:tcPr>
            <w:tcW w:w="57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eastAsia="仿宋_GB2312"/>
                <w:kern w:val="0"/>
                <w:sz w:val="30"/>
                <w:szCs w:val="30"/>
              </w:rPr>
            </w:pPr>
          </w:p>
        </w:tc>
        <w:tc>
          <w:tcPr>
            <w:tcW w:w="564" w:type="dxa"/>
            <w:vMerge w:val="continue"/>
            <w:tcBorders>
              <w:top w:val="single" w:color="auto" w:sz="8" w:space="0"/>
              <w:left w:val="nil"/>
              <w:bottom w:val="single" w:color="auto" w:sz="8" w:space="0"/>
              <w:right w:val="single" w:color="auto" w:sz="8" w:space="0"/>
            </w:tcBorders>
            <w:vAlign w:val="center"/>
          </w:tcPr>
          <w:p>
            <w:pPr>
              <w:widowControl/>
              <w:jc w:val="left"/>
              <w:rPr>
                <w:rFonts w:ascii="仿宋_GB2312" w:eastAsia="仿宋_GB2312"/>
                <w:kern w:val="0"/>
                <w:sz w:val="30"/>
                <w:szCs w:val="30"/>
              </w:rPr>
            </w:pPr>
          </w:p>
        </w:tc>
        <w:tc>
          <w:tcPr>
            <w:tcW w:w="838" w:type="dxa"/>
            <w:vMerge w:val="continue"/>
            <w:tcBorders>
              <w:top w:val="single" w:color="auto" w:sz="8" w:space="0"/>
              <w:left w:val="nil"/>
              <w:bottom w:val="single" w:color="auto" w:sz="8" w:space="0"/>
              <w:right w:val="single" w:color="auto" w:sz="8" w:space="0"/>
            </w:tcBorders>
            <w:vAlign w:val="center"/>
          </w:tcPr>
          <w:p>
            <w:pPr>
              <w:widowControl/>
              <w:jc w:val="left"/>
              <w:rPr>
                <w:rFonts w:ascii="仿宋_GB2312" w:eastAsia="仿宋_GB2312"/>
                <w:kern w:val="0"/>
                <w:sz w:val="30"/>
                <w:szCs w:val="30"/>
              </w:rPr>
            </w:pPr>
          </w:p>
        </w:tc>
        <w:tc>
          <w:tcPr>
            <w:tcW w:w="4677" w:type="dxa"/>
            <w:vMerge w:val="continue"/>
            <w:tcBorders>
              <w:top w:val="single" w:color="auto" w:sz="8" w:space="0"/>
              <w:left w:val="nil"/>
              <w:bottom w:val="single" w:color="auto" w:sz="8" w:space="0"/>
              <w:right w:val="single" w:color="auto" w:sz="8" w:space="0"/>
            </w:tcBorders>
            <w:vAlign w:val="center"/>
          </w:tcPr>
          <w:p>
            <w:pPr>
              <w:widowControl/>
              <w:jc w:val="left"/>
              <w:rPr>
                <w:rFonts w:ascii="仿宋_GB2312" w:eastAsia="仿宋_GB2312"/>
                <w:kern w:val="0"/>
                <w:sz w:val="30"/>
                <w:szCs w:val="30"/>
              </w:rPr>
            </w:pPr>
          </w:p>
        </w:tc>
        <w:tc>
          <w:tcPr>
            <w:tcW w:w="512" w:type="dxa"/>
            <w:vMerge w:val="continue"/>
            <w:tcBorders>
              <w:top w:val="single" w:color="auto" w:sz="8" w:space="0"/>
              <w:left w:val="nil"/>
              <w:bottom w:val="single" w:color="auto" w:sz="8" w:space="0"/>
              <w:right w:val="single" w:color="auto" w:sz="8" w:space="0"/>
            </w:tcBorders>
            <w:vAlign w:val="center"/>
          </w:tcPr>
          <w:p>
            <w:pPr>
              <w:widowControl/>
              <w:jc w:val="left"/>
              <w:rPr>
                <w:rFonts w:ascii="仿宋_GB2312" w:eastAsia="仿宋_GB2312"/>
                <w:kern w:val="0"/>
                <w:sz w:val="30"/>
                <w:szCs w:val="30"/>
              </w:rPr>
            </w:pPr>
          </w:p>
        </w:tc>
        <w:tc>
          <w:tcPr>
            <w:tcW w:w="451" w:type="dxa"/>
            <w:tcBorders>
              <w:top w:val="nil"/>
              <w:left w:val="nil"/>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A</w:t>
            </w:r>
          </w:p>
        </w:tc>
        <w:tc>
          <w:tcPr>
            <w:tcW w:w="451" w:type="dxa"/>
            <w:tcBorders>
              <w:top w:val="nil"/>
              <w:left w:val="nil"/>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B</w:t>
            </w:r>
          </w:p>
        </w:tc>
        <w:tc>
          <w:tcPr>
            <w:tcW w:w="451" w:type="dxa"/>
            <w:tcBorders>
              <w:top w:val="nil"/>
              <w:left w:val="nil"/>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C</w:t>
            </w:r>
          </w:p>
        </w:tc>
        <w:tc>
          <w:tcPr>
            <w:tcW w:w="451" w:type="dxa"/>
            <w:tcBorders>
              <w:top w:val="nil"/>
              <w:left w:val="nil"/>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D</w:t>
            </w:r>
          </w:p>
        </w:tc>
        <w:tc>
          <w:tcPr>
            <w:tcW w:w="452" w:type="dxa"/>
            <w:tcBorders>
              <w:top w:val="nil"/>
              <w:left w:val="nil"/>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 w:val="24"/>
              </w:rPr>
              <w:t>E</w:t>
            </w:r>
          </w:p>
        </w:tc>
      </w:tr>
      <w:tr>
        <w:tblPrEx>
          <w:tblLayout w:type="fixed"/>
          <w:tblCellMar>
            <w:top w:w="0" w:type="dxa"/>
            <w:left w:w="0" w:type="dxa"/>
            <w:bottom w:w="0" w:type="dxa"/>
            <w:right w:w="0" w:type="dxa"/>
          </w:tblCellMar>
        </w:tblPrEx>
        <w:trPr>
          <w:cantSplit/>
          <w:trHeight w:val="360" w:hRule="atLeast"/>
          <w:jc w:val="center"/>
        </w:trPr>
        <w:tc>
          <w:tcPr>
            <w:tcW w:w="57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eastAsia="仿宋_GB2312"/>
                <w:kern w:val="0"/>
                <w:sz w:val="30"/>
                <w:szCs w:val="30"/>
              </w:rPr>
            </w:pPr>
          </w:p>
        </w:tc>
        <w:tc>
          <w:tcPr>
            <w:tcW w:w="564" w:type="dxa"/>
            <w:vMerge w:val="continue"/>
            <w:tcBorders>
              <w:top w:val="single" w:color="auto" w:sz="8" w:space="0"/>
              <w:left w:val="nil"/>
              <w:bottom w:val="single" w:color="auto" w:sz="8" w:space="0"/>
              <w:right w:val="single" w:color="auto" w:sz="8" w:space="0"/>
            </w:tcBorders>
            <w:vAlign w:val="center"/>
          </w:tcPr>
          <w:p>
            <w:pPr>
              <w:widowControl/>
              <w:jc w:val="left"/>
              <w:rPr>
                <w:rFonts w:ascii="仿宋_GB2312" w:eastAsia="仿宋_GB2312"/>
                <w:kern w:val="0"/>
                <w:sz w:val="30"/>
                <w:szCs w:val="30"/>
              </w:rPr>
            </w:pPr>
          </w:p>
        </w:tc>
        <w:tc>
          <w:tcPr>
            <w:tcW w:w="838" w:type="dxa"/>
            <w:vMerge w:val="continue"/>
            <w:tcBorders>
              <w:top w:val="single" w:color="auto" w:sz="8" w:space="0"/>
              <w:left w:val="nil"/>
              <w:bottom w:val="single" w:color="auto" w:sz="8" w:space="0"/>
              <w:right w:val="single" w:color="auto" w:sz="8" w:space="0"/>
            </w:tcBorders>
            <w:vAlign w:val="center"/>
          </w:tcPr>
          <w:p>
            <w:pPr>
              <w:widowControl/>
              <w:jc w:val="left"/>
              <w:rPr>
                <w:rFonts w:ascii="仿宋_GB2312" w:eastAsia="仿宋_GB2312"/>
                <w:kern w:val="0"/>
                <w:sz w:val="30"/>
                <w:szCs w:val="30"/>
              </w:rPr>
            </w:pPr>
          </w:p>
        </w:tc>
        <w:tc>
          <w:tcPr>
            <w:tcW w:w="4677" w:type="dxa"/>
            <w:vMerge w:val="continue"/>
            <w:tcBorders>
              <w:top w:val="single" w:color="auto" w:sz="8" w:space="0"/>
              <w:left w:val="nil"/>
              <w:bottom w:val="single" w:color="auto" w:sz="8" w:space="0"/>
              <w:right w:val="single" w:color="auto" w:sz="8" w:space="0"/>
            </w:tcBorders>
            <w:vAlign w:val="center"/>
          </w:tcPr>
          <w:p>
            <w:pPr>
              <w:widowControl/>
              <w:jc w:val="left"/>
              <w:rPr>
                <w:rFonts w:ascii="仿宋_GB2312" w:eastAsia="仿宋_GB2312"/>
                <w:kern w:val="0"/>
                <w:sz w:val="30"/>
                <w:szCs w:val="30"/>
              </w:rPr>
            </w:pPr>
          </w:p>
        </w:tc>
        <w:tc>
          <w:tcPr>
            <w:tcW w:w="512" w:type="dxa"/>
            <w:vMerge w:val="continue"/>
            <w:tcBorders>
              <w:top w:val="single" w:color="auto" w:sz="8" w:space="0"/>
              <w:left w:val="nil"/>
              <w:bottom w:val="single" w:color="auto" w:sz="8" w:space="0"/>
              <w:right w:val="single" w:color="auto" w:sz="8" w:space="0"/>
            </w:tcBorders>
            <w:vAlign w:val="center"/>
          </w:tcPr>
          <w:p>
            <w:pPr>
              <w:widowControl/>
              <w:jc w:val="left"/>
              <w:rPr>
                <w:rFonts w:ascii="仿宋_GB2312" w:eastAsia="仿宋_GB2312"/>
                <w:kern w:val="0"/>
                <w:sz w:val="30"/>
                <w:szCs w:val="30"/>
              </w:rPr>
            </w:pPr>
          </w:p>
        </w:tc>
        <w:tc>
          <w:tcPr>
            <w:tcW w:w="451" w:type="dxa"/>
            <w:tcBorders>
              <w:top w:val="nil"/>
              <w:left w:val="nil"/>
              <w:bottom w:val="single" w:color="auto" w:sz="8" w:space="0"/>
              <w:right w:val="single" w:color="auto" w:sz="8" w:space="0"/>
            </w:tcBorders>
            <w:vAlign w:val="center"/>
          </w:tcPr>
          <w:p>
            <w:pPr>
              <w:widowControl/>
              <w:spacing w:line="300" w:lineRule="atLeast"/>
              <w:ind w:firstLine="88"/>
              <w:jc w:val="center"/>
              <w:rPr>
                <w:rFonts w:ascii="仿宋_GB2312" w:eastAsia="仿宋_GB2312"/>
                <w:kern w:val="0"/>
                <w:sz w:val="30"/>
                <w:szCs w:val="30"/>
              </w:rPr>
            </w:pPr>
            <w:r>
              <w:rPr>
                <w:rFonts w:hint="eastAsia" w:ascii="仿宋_GB2312" w:eastAsia="仿宋_GB2312"/>
                <w:color w:val="000000"/>
                <w:spacing w:val="-20"/>
                <w:kern w:val="0"/>
                <w:szCs w:val="21"/>
              </w:rPr>
              <w:t>1.0</w:t>
            </w:r>
          </w:p>
        </w:tc>
        <w:tc>
          <w:tcPr>
            <w:tcW w:w="451" w:type="dxa"/>
            <w:tcBorders>
              <w:top w:val="nil"/>
              <w:left w:val="nil"/>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0.8</w:t>
            </w:r>
          </w:p>
        </w:tc>
        <w:tc>
          <w:tcPr>
            <w:tcW w:w="451" w:type="dxa"/>
            <w:tcBorders>
              <w:top w:val="nil"/>
              <w:left w:val="nil"/>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0.6</w:t>
            </w:r>
          </w:p>
        </w:tc>
        <w:tc>
          <w:tcPr>
            <w:tcW w:w="451" w:type="dxa"/>
            <w:tcBorders>
              <w:top w:val="nil"/>
              <w:left w:val="nil"/>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0.4</w:t>
            </w:r>
          </w:p>
        </w:tc>
        <w:tc>
          <w:tcPr>
            <w:tcW w:w="452" w:type="dxa"/>
            <w:tcBorders>
              <w:top w:val="nil"/>
              <w:left w:val="nil"/>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 w:val="24"/>
              </w:rPr>
              <w:t>0.2</w:t>
            </w:r>
          </w:p>
        </w:tc>
      </w:tr>
      <w:tr>
        <w:tblPrEx>
          <w:tblLayout w:type="fixed"/>
          <w:tblCellMar>
            <w:top w:w="0" w:type="dxa"/>
            <w:left w:w="0" w:type="dxa"/>
            <w:bottom w:w="0" w:type="dxa"/>
            <w:right w:w="0" w:type="dxa"/>
          </w:tblCellMar>
        </w:tblPrEx>
        <w:trPr>
          <w:cantSplit/>
          <w:trHeight w:val="1513" w:hRule="atLeast"/>
          <w:jc w:val="center"/>
        </w:trPr>
        <w:tc>
          <w:tcPr>
            <w:tcW w:w="574" w:type="dxa"/>
            <w:vMerge w:val="restar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一</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 </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课</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程</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设</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置</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 </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10</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分</w:t>
            </w:r>
          </w:p>
        </w:tc>
        <w:tc>
          <w:tcPr>
            <w:tcW w:w="56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1-1</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课程</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定位</w:t>
            </w:r>
          </w:p>
        </w:tc>
        <w:tc>
          <w:tcPr>
            <w:tcW w:w="83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性质与</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作用</w:t>
            </w:r>
          </w:p>
        </w:tc>
        <w:tc>
          <w:tcPr>
            <w:tcW w:w="467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 w:val="30"/>
                <w:szCs w:val="30"/>
              </w:rPr>
            </w:pPr>
            <w:r>
              <w:rPr>
                <w:rFonts w:hint="eastAsia" w:ascii="仿宋_GB2312" w:eastAsia="仿宋_GB2312"/>
                <w:color w:val="000000"/>
                <w:spacing w:val="-4"/>
                <w:kern w:val="0"/>
                <w:szCs w:val="21"/>
              </w:rPr>
              <w:t>专业课程体系符合技术技能型人才培养目标和专业相关技术领域职业岗位（群）的任职要求；本课程对学生职业能力培养和职业素养养成起主要支撑或明显促进作用，且与前、后续课程衔接得当。</w:t>
            </w:r>
          </w:p>
        </w:tc>
        <w:tc>
          <w:tcPr>
            <w:tcW w:w="512" w:type="dxa"/>
            <w:tcBorders>
              <w:top w:val="nil"/>
              <w:left w:val="nil"/>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4</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2"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 w:val="24"/>
              </w:rPr>
              <w:t> </w:t>
            </w:r>
          </w:p>
        </w:tc>
      </w:tr>
      <w:tr>
        <w:tblPrEx>
          <w:tblLayout w:type="fixed"/>
          <w:tblCellMar>
            <w:top w:w="0" w:type="dxa"/>
            <w:left w:w="0" w:type="dxa"/>
            <w:bottom w:w="0" w:type="dxa"/>
            <w:right w:w="0" w:type="dxa"/>
          </w:tblCellMar>
        </w:tblPrEx>
        <w:trPr>
          <w:cantSplit/>
          <w:trHeight w:val="1331" w:hRule="atLeast"/>
          <w:jc w:val="center"/>
        </w:trPr>
        <w:tc>
          <w:tcPr>
            <w:tcW w:w="57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eastAsia="仿宋_GB2312"/>
                <w:kern w:val="0"/>
                <w:sz w:val="30"/>
                <w:szCs w:val="30"/>
              </w:rPr>
            </w:pPr>
          </w:p>
        </w:tc>
        <w:tc>
          <w:tcPr>
            <w:tcW w:w="56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1-2</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课程设计</w:t>
            </w:r>
          </w:p>
        </w:tc>
        <w:tc>
          <w:tcPr>
            <w:tcW w:w="83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理念与</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思路</w:t>
            </w:r>
          </w:p>
        </w:tc>
        <w:tc>
          <w:tcPr>
            <w:tcW w:w="467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以增强就业能力培养为重点，与行业企业合作进行基于工作过程的课程开发与设计，充分体现职业性、实践性和开放性的要求。</w:t>
            </w:r>
          </w:p>
        </w:tc>
        <w:tc>
          <w:tcPr>
            <w:tcW w:w="512" w:type="dxa"/>
            <w:tcBorders>
              <w:top w:val="nil"/>
              <w:left w:val="nil"/>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6</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2"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 w:val="24"/>
              </w:rPr>
              <w:t> </w:t>
            </w:r>
          </w:p>
        </w:tc>
      </w:tr>
      <w:tr>
        <w:tblPrEx>
          <w:tblLayout w:type="fixed"/>
          <w:tblCellMar>
            <w:top w:w="0" w:type="dxa"/>
            <w:left w:w="0" w:type="dxa"/>
            <w:bottom w:w="0" w:type="dxa"/>
            <w:right w:w="0" w:type="dxa"/>
          </w:tblCellMar>
        </w:tblPrEx>
        <w:trPr>
          <w:cantSplit/>
          <w:trHeight w:val="1406" w:hRule="atLeast"/>
          <w:jc w:val="center"/>
        </w:trPr>
        <w:tc>
          <w:tcPr>
            <w:tcW w:w="574" w:type="dxa"/>
            <w:vMerge w:val="restar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二</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 </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教</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学</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内</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容</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 </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25</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分</w:t>
            </w:r>
          </w:p>
        </w:tc>
        <w:tc>
          <w:tcPr>
            <w:tcW w:w="56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2-1</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内容选取</w:t>
            </w:r>
          </w:p>
        </w:tc>
        <w:tc>
          <w:tcPr>
            <w:tcW w:w="83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针对性和适用性</w:t>
            </w:r>
          </w:p>
        </w:tc>
        <w:tc>
          <w:tcPr>
            <w:tcW w:w="467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根据行业企业发展需要和完成职业岗位实际工作任务所需要的知识、能力、素质要求，选取教学内容，并为学生可持续发展奠定良好的基础。</w:t>
            </w:r>
          </w:p>
        </w:tc>
        <w:tc>
          <w:tcPr>
            <w:tcW w:w="512" w:type="dxa"/>
            <w:tcBorders>
              <w:top w:val="nil"/>
              <w:left w:val="nil"/>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10</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2"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 w:val="24"/>
              </w:rPr>
              <w:t> </w:t>
            </w:r>
          </w:p>
        </w:tc>
      </w:tr>
      <w:tr>
        <w:tblPrEx>
          <w:tblLayout w:type="fixed"/>
          <w:tblCellMar>
            <w:top w:w="0" w:type="dxa"/>
            <w:left w:w="0" w:type="dxa"/>
            <w:bottom w:w="0" w:type="dxa"/>
            <w:right w:w="0" w:type="dxa"/>
          </w:tblCellMar>
        </w:tblPrEx>
        <w:trPr>
          <w:cantSplit/>
          <w:trHeight w:val="1840" w:hRule="atLeast"/>
          <w:jc w:val="center"/>
        </w:trPr>
        <w:tc>
          <w:tcPr>
            <w:tcW w:w="57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eastAsia="仿宋_GB2312"/>
                <w:kern w:val="0"/>
                <w:sz w:val="30"/>
                <w:szCs w:val="30"/>
              </w:rPr>
            </w:pPr>
          </w:p>
        </w:tc>
        <w:tc>
          <w:tcPr>
            <w:tcW w:w="56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2-2</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内容组织</w:t>
            </w:r>
          </w:p>
        </w:tc>
        <w:tc>
          <w:tcPr>
            <w:tcW w:w="83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组织与</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安排</w:t>
            </w:r>
          </w:p>
        </w:tc>
        <w:tc>
          <w:tcPr>
            <w:tcW w:w="467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遵循学生职业能力培养的基本规律，以真实工作任务及其工作过程为依据整合、序化教学内容，科学设计学习性工作任务，教、学、做结合，理论与实践一体化，实训、实习等教学环节设计合理。</w:t>
            </w:r>
          </w:p>
        </w:tc>
        <w:tc>
          <w:tcPr>
            <w:tcW w:w="512" w:type="dxa"/>
            <w:tcBorders>
              <w:top w:val="nil"/>
              <w:left w:val="nil"/>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10</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2"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 w:val="24"/>
              </w:rPr>
              <w:t> </w:t>
            </w:r>
          </w:p>
        </w:tc>
      </w:tr>
      <w:tr>
        <w:tblPrEx>
          <w:tblLayout w:type="fixed"/>
          <w:tblCellMar>
            <w:top w:w="0" w:type="dxa"/>
            <w:left w:w="0" w:type="dxa"/>
            <w:bottom w:w="0" w:type="dxa"/>
            <w:right w:w="0" w:type="dxa"/>
          </w:tblCellMar>
        </w:tblPrEx>
        <w:trPr>
          <w:cantSplit/>
          <w:trHeight w:val="1550" w:hRule="atLeast"/>
          <w:jc w:val="center"/>
        </w:trPr>
        <w:tc>
          <w:tcPr>
            <w:tcW w:w="57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eastAsia="仿宋_GB2312"/>
                <w:kern w:val="0"/>
                <w:sz w:val="30"/>
                <w:szCs w:val="30"/>
              </w:rPr>
            </w:pPr>
          </w:p>
        </w:tc>
        <w:tc>
          <w:tcPr>
            <w:tcW w:w="56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2-3</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表现形式</w:t>
            </w:r>
          </w:p>
        </w:tc>
        <w:tc>
          <w:tcPr>
            <w:tcW w:w="83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教材及相关资料</w:t>
            </w:r>
          </w:p>
        </w:tc>
        <w:tc>
          <w:tcPr>
            <w:tcW w:w="467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选用先进、适用教材，与行业企业合作编写工学结合特色教材，课件、案例、习题、实训实习项目、学习指南等教学相关资料齐全，符合课程设计要求。</w:t>
            </w:r>
          </w:p>
        </w:tc>
        <w:tc>
          <w:tcPr>
            <w:tcW w:w="512" w:type="dxa"/>
            <w:tcBorders>
              <w:top w:val="nil"/>
              <w:left w:val="nil"/>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5</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2"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 w:val="24"/>
              </w:rPr>
              <w:t> </w:t>
            </w:r>
          </w:p>
        </w:tc>
      </w:tr>
      <w:tr>
        <w:tblPrEx>
          <w:tblLayout w:type="fixed"/>
          <w:tblCellMar>
            <w:top w:w="0" w:type="dxa"/>
            <w:left w:w="0" w:type="dxa"/>
            <w:bottom w:w="0" w:type="dxa"/>
            <w:right w:w="0" w:type="dxa"/>
          </w:tblCellMar>
        </w:tblPrEx>
        <w:trPr>
          <w:cantSplit/>
          <w:trHeight w:val="1682" w:hRule="atLeast"/>
          <w:jc w:val="center"/>
        </w:trPr>
        <w:tc>
          <w:tcPr>
            <w:tcW w:w="574" w:type="dxa"/>
            <w:vMerge w:val="restart"/>
            <w:tcBorders>
              <w:top w:val="single" w:color="auto" w:sz="4"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三</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 </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教学</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方法</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与</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手段</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 </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25</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分</w:t>
            </w:r>
          </w:p>
        </w:tc>
        <w:tc>
          <w:tcPr>
            <w:tcW w:w="564"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3-1</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教学设计</w:t>
            </w:r>
          </w:p>
        </w:tc>
        <w:tc>
          <w:tcPr>
            <w:tcW w:w="83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color w:val="000000"/>
                <w:kern w:val="0"/>
                <w:szCs w:val="21"/>
              </w:rPr>
            </w:pPr>
            <w:r>
              <w:rPr>
                <w:rFonts w:hint="eastAsia" w:ascii="仿宋_GB2312" w:eastAsia="仿宋_GB2312"/>
                <w:color w:val="000000"/>
                <w:kern w:val="0"/>
                <w:szCs w:val="21"/>
              </w:rPr>
              <w:t>教学</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模式</w:t>
            </w:r>
          </w:p>
        </w:tc>
        <w:tc>
          <w:tcPr>
            <w:tcW w:w="4677"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重视学生在校学习与实际工作的一致性，有针对性地采取工学交替、任务驱动、项目导向、课堂与实习地点一体化等行动导向的教学模式。</w:t>
            </w:r>
          </w:p>
        </w:tc>
        <w:tc>
          <w:tcPr>
            <w:tcW w:w="512" w:type="dxa"/>
            <w:tcBorders>
              <w:top w:val="single" w:color="auto" w:sz="4" w:space="0"/>
              <w:left w:val="nil"/>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15</w:t>
            </w:r>
          </w:p>
        </w:tc>
        <w:tc>
          <w:tcPr>
            <w:tcW w:w="451" w:type="dxa"/>
            <w:tcBorders>
              <w:top w:val="single" w:color="auto" w:sz="4" w:space="0"/>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single" w:color="auto" w:sz="4" w:space="0"/>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single" w:color="auto" w:sz="4" w:space="0"/>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single" w:color="auto" w:sz="4" w:space="0"/>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2" w:type="dxa"/>
            <w:tcBorders>
              <w:top w:val="single" w:color="auto" w:sz="4" w:space="0"/>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 w:val="24"/>
              </w:rPr>
              <w:t> </w:t>
            </w:r>
          </w:p>
        </w:tc>
      </w:tr>
      <w:tr>
        <w:tblPrEx>
          <w:tblLayout w:type="fixed"/>
          <w:tblCellMar>
            <w:top w:w="0" w:type="dxa"/>
            <w:left w:w="0" w:type="dxa"/>
            <w:bottom w:w="0" w:type="dxa"/>
            <w:right w:w="0" w:type="dxa"/>
          </w:tblCellMar>
        </w:tblPrEx>
        <w:trPr>
          <w:cantSplit/>
          <w:trHeight w:val="1770" w:hRule="atLeast"/>
          <w:jc w:val="center"/>
        </w:trPr>
        <w:tc>
          <w:tcPr>
            <w:tcW w:w="57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eastAsia="仿宋_GB2312"/>
                <w:kern w:val="0"/>
                <w:sz w:val="30"/>
                <w:szCs w:val="30"/>
              </w:rPr>
            </w:pPr>
          </w:p>
        </w:tc>
        <w:tc>
          <w:tcPr>
            <w:tcW w:w="56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3-2</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教学</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方法</w:t>
            </w:r>
          </w:p>
        </w:tc>
        <w:tc>
          <w:tcPr>
            <w:tcW w:w="83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教学方法的运用</w:t>
            </w:r>
          </w:p>
        </w:tc>
        <w:tc>
          <w:tcPr>
            <w:tcW w:w="467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根据课程内容和学生特点，灵活运用案例分析、分组讨论、角色扮演、启发引导等教学方法，引导学生积极思考、乐于实践，提高教、学效果。</w:t>
            </w:r>
          </w:p>
        </w:tc>
        <w:tc>
          <w:tcPr>
            <w:tcW w:w="512" w:type="dxa"/>
            <w:tcBorders>
              <w:top w:val="nil"/>
              <w:left w:val="nil"/>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5</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2"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 w:val="24"/>
              </w:rPr>
              <w:t> </w:t>
            </w:r>
          </w:p>
        </w:tc>
      </w:tr>
      <w:tr>
        <w:tblPrEx>
          <w:tblLayout w:type="fixed"/>
          <w:tblCellMar>
            <w:top w:w="0" w:type="dxa"/>
            <w:left w:w="0" w:type="dxa"/>
            <w:bottom w:w="0" w:type="dxa"/>
            <w:right w:w="0" w:type="dxa"/>
          </w:tblCellMar>
        </w:tblPrEx>
        <w:trPr>
          <w:cantSplit/>
          <w:trHeight w:val="1744" w:hRule="atLeast"/>
          <w:jc w:val="center"/>
        </w:trPr>
        <w:tc>
          <w:tcPr>
            <w:tcW w:w="57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eastAsia="仿宋_GB2312"/>
                <w:kern w:val="0"/>
                <w:sz w:val="30"/>
                <w:szCs w:val="30"/>
              </w:rPr>
            </w:pPr>
          </w:p>
        </w:tc>
        <w:tc>
          <w:tcPr>
            <w:tcW w:w="56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3-3</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教学</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手段</w:t>
            </w:r>
          </w:p>
        </w:tc>
        <w:tc>
          <w:tcPr>
            <w:tcW w:w="83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信息技术的应用</w:t>
            </w:r>
          </w:p>
        </w:tc>
        <w:tc>
          <w:tcPr>
            <w:tcW w:w="467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运用现代教育技术和虚拟现实技术，建立虚拟社会、虚拟企业、虚拟车间、虚拟项目等仿真教学环境，优化教学过程，提高教学质量和效率，取得实效。</w:t>
            </w:r>
          </w:p>
        </w:tc>
        <w:tc>
          <w:tcPr>
            <w:tcW w:w="512" w:type="dxa"/>
            <w:tcBorders>
              <w:top w:val="nil"/>
              <w:left w:val="nil"/>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5</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2"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 w:val="24"/>
              </w:rPr>
              <w:t> </w:t>
            </w:r>
          </w:p>
        </w:tc>
      </w:tr>
      <w:tr>
        <w:tblPrEx>
          <w:tblLayout w:type="fixed"/>
          <w:tblCellMar>
            <w:top w:w="0" w:type="dxa"/>
            <w:left w:w="0" w:type="dxa"/>
            <w:bottom w:w="0" w:type="dxa"/>
            <w:right w:w="0" w:type="dxa"/>
          </w:tblCellMar>
        </w:tblPrEx>
        <w:trPr>
          <w:cantSplit/>
          <w:trHeight w:val="1670" w:hRule="atLeast"/>
          <w:jc w:val="center"/>
        </w:trPr>
        <w:tc>
          <w:tcPr>
            <w:tcW w:w="574" w:type="dxa"/>
            <w:vMerge w:val="restar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四</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 </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教</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学</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队</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伍</w:t>
            </w:r>
          </w:p>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20</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分</w:t>
            </w:r>
          </w:p>
        </w:tc>
        <w:tc>
          <w:tcPr>
            <w:tcW w:w="56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4-1</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主讲</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教师</w:t>
            </w:r>
          </w:p>
        </w:tc>
        <w:tc>
          <w:tcPr>
            <w:tcW w:w="83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师德、能力与水平</w:t>
            </w:r>
          </w:p>
        </w:tc>
        <w:tc>
          <w:tcPr>
            <w:tcW w:w="467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ind w:right="-84"/>
              <w:rPr>
                <w:rFonts w:ascii="仿宋_GB2312" w:eastAsia="仿宋_GB2312"/>
                <w:kern w:val="0"/>
                <w:sz w:val="30"/>
                <w:szCs w:val="30"/>
              </w:rPr>
            </w:pPr>
            <w:r>
              <w:rPr>
                <w:rFonts w:hint="eastAsia" w:ascii="仿宋_GB2312" w:eastAsia="仿宋_GB2312"/>
                <w:color w:val="000000"/>
                <w:kern w:val="0"/>
                <w:szCs w:val="21"/>
              </w:rPr>
              <w:t>师德高尚、治学严谨；执教能力强，教学效果好，参与和承担教育研究或教学改革项目，成果显著；与企业联系密切，参与校企合作或相关专业技术服务项目，成效明显，并在行业企业有一定影响。</w:t>
            </w:r>
          </w:p>
        </w:tc>
        <w:tc>
          <w:tcPr>
            <w:tcW w:w="512" w:type="dxa"/>
            <w:tcBorders>
              <w:top w:val="nil"/>
              <w:left w:val="nil"/>
              <w:bottom w:val="single" w:color="auto" w:sz="8" w:space="0"/>
              <w:right w:val="single" w:color="auto" w:sz="8" w:space="0"/>
            </w:tcBorders>
            <w:vAlign w:val="center"/>
          </w:tcPr>
          <w:p>
            <w:pPr>
              <w:widowControl/>
              <w:jc w:val="center"/>
              <w:rPr>
                <w:rFonts w:ascii="仿宋_GB2312" w:eastAsia="仿宋_GB2312"/>
                <w:kern w:val="0"/>
                <w:sz w:val="30"/>
                <w:szCs w:val="30"/>
              </w:rPr>
            </w:pPr>
            <w:r>
              <w:rPr>
                <w:rFonts w:hint="eastAsia" w:ascii="仿宋_GB2312" w:eastAsia="仿宋_GB2312"/>
                <w:color w:val="000000"/>
                <w:kern w:val="0"/>
                <w:szCs w:val="21"/>
              </w:rPr>
              <w:t>10</w:t>
            </w:r>
          </w:p>
        </w:tc>
        <w:tc>
          <w:tcPr>
            <w:tcW w:w="451" w:type="dxa"/>
            <w:tcBorders>
              <w:top w:val="nil"/>
              <w:left w:val="nil"/>
              <w:bottom w:val="single" w:color="auto" w:sz="8" w:space="0"/>
              <w:right w:val="single" w:color="auto" w:sz="8" w:space="0"/>
            </w:tcBorders>
            <w:vAlign w:val="top"/>
          </w:tcPr>
          <w:p>
            <w:pPr>
              <w:widowControl/>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rPr>
                <w:rFonts w:ascii="仿宋_GB2312" w:eastAsia="仿宋_GB2312"/>
                <w:kern w:val="0"/>
                <w:sz w:val="30"/>
                <w:szCs w:val="30"/>
              </w:rPr>
            </w:pPr>
            <w:r>
              <w:rPr>
                <w:rFonts w:hint="eastAsia" w:ascii="仿宋_GB2312" w:eastAsia="仿宋_GB2312"/>
                <w:color w:val="000000"/>
                <w:kern w:val="0"/>
                <w:szCs w:val="21"/>
              </w:rPr>
              <w:t> </w:t>
            </w:r>
          </w:p>
        </w:tc>
        <w:tc>
          <w:tcPr>
            <w:tcW w:w="452" w:type="dxa"/>
            <w:tcBorders>
              <w:top w:val="nil"/>
              <w:left w:val="nil"/>
              <w:bottom w:val="single" w:color="auto" w:sz="8" w:space="0"/>
              <w:right w:val="single" w:color="auto" w:sz="8" w:space="0"/>
            </w:tcBorders>
            <w:vAlign w:val="top"/>
          </w:tcPr>
          <w:p>
            <w:pPr>
              <w:widowControl/>
              <w:rPr>
                <w:rFonts w:ascii="仿宋_GB2312" w:eastAsia="仿宋_GB2312"/>
                <w:kern w:val="0"/>
                <w:sz w:val="30"/>
                <w:szCs w:val="30"/>
              </w:rPr>
            </w:pPr>
            <w:r>
              <w:rPr>
                <w:rFonts w:hint="eastAsia" w:ascii="仿宋_GB2312" w:eastAsia="仿宋_GB2312"/>
                <w:color w:val="000000"/>
                <w:kern w:val="0"/>
                <w:sz w:val="24"/>
              </w:rPr>
              <w:t> </w:t>
            </w:r>
          </w:p>
        </w:tc>
      </w:tr>
      <w:tr>
        <w:tblPrEx>
          <w:tblLayout w:type="fixed"/>
          <w:tblCellMar>
            <w:top w:w="0" w:type="dxa"/>
            <w:left w:w="0" w:type="dxa"/>
            <w:bottom w:w="0" w:type="dxa"/>
            <w:right w:w="0" w:type="dxa"/>
          </w:tblCellMar>
        </w:tblPrEx>
        <w:trPr>
          <w:cantSplit/>
          <w:trHeight w:val="1922" w:hRule="atLeast"/>
          <w:jc w:val="center"/>
        </w:trPr>
        <w:tc>
          <w:tcPr>
            <w:tcW w:w="57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eastAsia="仿宋_GB2312"/>
                <w:kern w:val="0"/>
                <w:sz w:val="30"/>
                <w:szCs w:val="30"/>
              </w:rPr>
            </w:pPr>
          </w:p>
        </w:tc>
        <w:tc>
          <w:tcPr>
            <w:tcW w:w="56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4-2</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教学</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队伍</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结构</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 </w:t>
            </w:r>
          </w:p>
        </w:tc>
        <w:tc>
          <w:tcPr>
            <w:tcW w:w="83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“双师型”结构、专兼职比例</w:t>
            </w:r>
          </w:p>
        </w:tc>
        <w:tc>
          <w:tcPr>
            <w:tcW w:w="467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专任教师中“双师”素质教师和有企业经历的教师比例、专业教师中来自行业企业的兼职教师比例符合课程性质和教学实施的要求；行业企业兼职教师承担有适当比例的课程教学任务，特别是主要的实践教学任务。</w:t>
            </w:r>
          </w:p>
        </w:tc>
        <w:tc>
          <w:tcPr>
            <w:tcW w:w="512" w:type="dxa"/>
            <w:tcBorders>
              <w:top w:val="nil"/>
              <w:left w:val="nil"/>
              <w:bottom w:val="single" w:color="auto" w:sz="8" w:space="0"/>
              <w:right w:val="single" w:color="auto" w:sz="8" w:space="0"/>
            </w:tcBorders>
            <w:vAlign w:val="center"/>
          </w:tcPr>
          <w:p>
            <w:pPr>
              <w:widowControl/>
              <w:jc w:val="center"/>
              <w:rPr>
                <w:rFonts w:ascii="仿宋_GB2312" w:eastAsia="仿宋_GB2312"/>
                <w:kern w:val="0"/>
                <w:sz w:val="30"/>
                <w:szCs w:val="30"/>
              </w:rPr>
            </w:pPr>
            <w:r>
              <w:rPr>
                <w:rFonts w:hint="eastAsia" w:ascii="仿宋_GB2312" w:eastAsia="仿宋_GB2312"/>
                <w:color w:val="000000"/>
                <w:kern w:val="0"/>
                <w:szCs w:val="21"/>
              </w:rPr>
              <w:t>10</w:t>
            </w:r>
          </w:p>
        </w:tc>
        <w:tc>
          <w:tcPr>
            <w:tcW w:w="451" w:type="dxa"/>
            <w:tcBorders>
              <w:top w:val="nil"/>
              <w:left w:val="nil"/>
              <w:bottom w:val="single" w:color="auto" w:sz="8" w:space="0"/>
              <w:right w:val="single" w:color="auto" w:sz="8" w:space="0"/>
            </w:tcBorders>
            <w:vAlign w:val="top"/>
          </w:tcPr>
          <w:p>
            <w:pPr>
              <w:widowControl/>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rPr>
                <w:rFonts w:ascii="仿宋_GB2312" w:eastAsia="仿宋_GB2312"/>
                <w:kern w:val="0"/>
                <w:sz w:val="30"/>
                <w:szCs w:val="30"/>
              </w:rPr>
            </w:pPr>
            <w:r>
              <w:rPr>
                <w:rFonts w:hint="eastAsia" w:ascii="仿宋_GB2312" w:eastAsia="仿宋_GB2312"/>
                <w:color w:val="000000"/>
                <w:kern w:val="0"/>
                <w:szCs w:val="21"/>
              </w:rPr>
              <w:t> </w:t>
            </w:r>
          </w:p>
        </w:tc>
        <w:tc>
          <w:tcPr>
            <w:tcW w:w="452" w:type="dxa"/>
            <w:tcBorders>
              <w:top w:val="nil"/>
              <w:left w:val="nil"/>
              <w:bottom w:val="single" w:color="auto" w:sz="8" w:space="0"/>
              <w:right w:val="single" w:color="auto" w:sz="8" w:space="0"/>
            </w:tcBorders>
            <w:vAlign w:val="top"/>
          </w:tcPr>
          <w:p>
            <w:pPr>
              <w:widowControl/>
              <w:rPr>
                <w:rFonts w:ascii="仿宋_GB2312" w:eastAsia="仿宋_GB2312"/>
                <w:kern w:val="0"/>
                <w:sz w:val="30"/>
                <w:szCs w:val="30"/>
              </w:rPr>
            </w:pPr>
            <w:r>
              <w:rPr>
                <w:rFonts w:hint="eastAsia" w:ascii="仿宋_GB2312" w:eastAsia="仿宋_GB2312"/>
                <w:color w:val="000000"/>
                <w:kern w:val="0"/>
                <w:sz w:val="24"/>
              </w:rPr>
              <w:t> </w:t>
            </w:r>
          </w:p>
        </w:tc>
      </w:tr>
      <w:tr>
        <w:tblPrEx>
          <w:tblLayout w:type="fixed"/>
          <w:tblCellMar>
            <w:top w:w="0" w:type="dxa"/>
            <w:left w:w="0" w:type="dxa"/>
            <w:bottom w:w="0" w:type="dxa"/>
            <w:right w:w="0" w:type="dxa"/>
          </w:tblCellMar>
        </w:tblPrEx>
        <w:trPr>
          <w:cantSplit/>
          <w:trHeight w:val="1731" w:hRule="atLeast"/>
          <w:jc w:val="center"/>
        </w:trPr>
        <w:tc>
          <w:tcPr>
            <w:tcW w:w="574" w:type="dxa"/>
            <w:vMerge w:val="restart"/>
            <w:tcBorders>
              <w:top w:val="nil"/>
              <w:left w:val="single" w:color="auto" w:sz="8" w:space="0"/>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五</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 </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实</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践</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条</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件</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 </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10</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分</w:t>
            </w:r>
          </w:p>
        </w:tc>
        <w:tc>
          <w:tcPr>
            <w:tcW w:w="56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5-1</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校内实训</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条件</w:t>
            </w:r>
          </w:p>
        </w:tc>
        <w:tc>
          <w:tcPr>
            <w:tcW w:w="83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设备与</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环境</w:t>
            </w:r>
          </w:p>
        </w:tc>
        <w:tc>
          <w:tcPr>
            <w:tcW w:w="467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实训基地由行业企业与学校共同参与建设，能够满足课程生产性实训或仿真实训的需要，设备、设施利用率高。</w:t>
            </w:r>
          </w:p>
        </w:tc>
        <w:tc>
          <w:tcPr>
            <w:tcW w:w="512" w:type="dxa"/>
            <w:tcBorders>
              <w:top w:val="nil"/>
              <w:left w:val="nil"/>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6</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2" w:type="dxa"/>
            <w:tcBorders>
              <w:top w:val="nil"/>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 w:val="24"/>
              </w:rPr>
              <w:t> </w:t>
            </w:r>
          </w:p>
        </w:tc>
      </w:tr>
      <w:tr>
        <w:tblPrEx>
          <w:tblLayout w:type="fixed"/>
          <w:tblCellMar>
            <w:top w:w="0" w:type="dxa"/>
            <w:left w:w="0" w:type="dxa"/>
            <w:bottom w:w="0" w:type="dxa"/>
            <w:right w:w="0" w:type="dxa"/>
          </w:tblCellMar>
        </w:tblPrEx>
        <w:trPr>
          <w:cantSplit/>
          <w:trHeight w:val="2385" w:hRule="atLeast"/>
          <w:jc w:val="center"/>
        </w:trPr>
        <w:tc>
          <w:tcPr>
            <w:tcW w:w="57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eastAsia="仿宋_GB2312"/>
                <w:kern w:val="0"/>
                <w:sz w:val="30"/>
                <w:szCs w:val="30"/>
              </w:rPr>
            </w:pPr>
          </w:p>
        </w:tc>
        <w:tc>
          <w:tcPr>
            <w:tcW w:w="56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5-2</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校外实习环境</w:t>
            </w:r>
          </w:p>
        </w:tc>
        <w:tc>
          <w:tcPr>
            <w:tcW w:w="83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建设与</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利用</w:t>
            </w:r>
          </w:p>
        </w:tc>
        <w:tc>
          <w:tcPr>
            <w:tcW w:w="467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与校内实训基地统筹规划，布点合理，功能明确，为课程的实践教学提供真实的工程环境，能够满足学生了解企业实际、体验企业文化的需要。</w:t>
            </w:r>
          </w:p>
        </w:tc>
        <w:tc>
          <w:tcPr>
            <w:tcW w:w="512" w:type="dxa"/>
            <w:tcBorders>
              <w:top w:val="nil"/>
              <w:left w:val="nil"/>
              <w:bottom w:val="single" w:color="auto" w:sz="8" w:space="0"/>
              <w:right w:val="single" w:color="auto" w:sz="8" w:space="0"/>
            </w:tcBorders>
            <w:vAlign w:val="center"/>
          </w:tcPr>
          <w:p>
            <w:pPr>
              <w:widowControl/>
              <w:jc w:val="center"/>
              <w:rPr>
                <w:rFonts w:ascii="仿宋_GB2312" w:eastAsia="仿宋_GB2312"/>
                <w:kern w:val="0"/>
                <w:sz w:val="30"/>
                <w:szCs w:val="30"/>
              </w:rPr>
            </w:pPr>
            <w:r>
              <w:rPr>
                <w:rFonts w:hint="eastAsia" w:ascii="仿宋_GB2312" w:eastAsia="仿宋_GB2312"/>
                <w:color w:val="000000"/>
                <w:kern w:val="0"/>
                <w:szCs w:val="21"/>
              </w:rPr>
              <w:t>4</w:t>
            </w:r>
          </w:p>
        </w:tc>
        <w:tc>
          <w:tcPr>
            <w:tcW w:w="451" w:type="dxa"/>
            <w:tcBorders>
              <w:top w:val="nil"/>
              <w:left w:val="nil"/>
              <w:bottom w:val="single" w:color="auto" w:sz="8" w:space="0"/>
              <w:right w:val="single" w:color="auto" w:sz="8" w:space="0"/>
            </w:tcBorders>
            <w:vAlign w:val="top"/>
          </w:tcPr>
          <w:p>
            <w:pPr>
              <w:widowControl/>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rPr>
                <w:rFonts w:ascii="仿宋_GB2312" w:eastAsia="仿宋_GB2312"/>
                <w:kern w:val="0"/>
                <w:sz w:val="30"/>
                <w:szCs w:val="30"/>
              </w:rPr>
            </w:pPr>
            <w:r>
              <w:rPr>
                <w:rFonts w:hint="eastAsia" w:ascii="仿宋_GB2312" w:eastAsia="仿宋_GB2312"/>
                <w:color w:val="000000"/>
                <w:kern w:val="0"/>
                <w:szCs w:val="21"/>
              </w:rPr>
              <w:t> </w:t>
            </w:r>
          </w:p>
        </w:tc>
        <w:tc>
          <w:tcPr>
            <w:tcW w:w="452" w:type="dxa"/>
            <w:tcBorders>
              <w:top w:val="nil"/>
              <w:left w:val="nil"/>
              <w:bottom w:val="single" w:color="auto" w:sz="8" w:space="0"/>
              <w:right w:val="single" w:color="auto" w:sz="8" w:space="0"/>
            </w:tcBorders>
            <w:vAlign w:val="top"/>
          </w:tcPr>
          <w:p>
            <w:pPr>
              <w:widowControl/>
              <w:rPr>
                <w:rFonts w:ascii="仿宋_GB2312" w:eastAsia="仿宋_GB2312"/>
                <w:kern w:val="0"/>
                <w:sz w:val="30"/>
                <w:szCs w:val="30"/>
              </w:rPr>
            </w:pPr>
            <w:r>
              <w:rPr>
                <w:rFonts w:hint="eastAsia" w:ascii="仿宋_GB2312" w:eastAsia="仿宋_GB2312"/>
                <w:color w:val="000000"/>
                <w:kern w:val="0"/>
                <w:sz w:val="24"/>
              </w:rPr>
              <w:t> </w:t>
            </w:r>
          </w:p>
        </w:tc>
      </w:tr>
      <w:tr>
        <w:tblPrEx>
          <w:tblLayout w:type="fixed"/>
          <w:tblCellMar>
            <w:top w:w="0" w:type="dxa"/>
            <w:left w:w="0" w:type="dxa"/>
            <w:bottom w:w="0" w:type="dxa"/>
            <w:right w:w="0" w:type="dxa"/>
          </w:tblCellMar>
        </w:tblPrEx>
        <w:trPr>
          <w:cantSplit/>
          <w:trHeight w:val="1823" w:hRule="atLeast"/>
          <w:jc w:val="center"/>
        </w:trPr>
        <w:tc>
          <w:tcPr>
            <w:tcW w:w="574" w:type="dxa"/>
            <w:vMerge w:val="restart"/>
            <w:tcBorders>
              <w:top w:val="single" w:color="auto" w:sz="4" w:space="0"/>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color w:val="000000"/>
                <w:kern w:val="0"/>
                <w:szCs w:val="21"/>
              </w:rPr>
            </w:pP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六</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 </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教</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学</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效</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果</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 </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10</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分</w:t>
            </w:r>
          </w:p>
        </w:tc>
        <w:tc>
          <w:tcPr>
            <w:tcW w:w="564"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6-1</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教学评价</w:t>
            </w:r>
          </w:p>
        </w:tc>
        <w:tc>
          <w:tcPr>
            <w:tcW w:w="83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专家、督导及学生评价</w:t>
            </w:r>
          </w:p>
        </w:tc>
        <w:tc>
          <w:tcPr>
            <w:tcW w:w="4677"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校外专家、行业企业专家、校内督导及学生评价结果优良。</w:t>
            </w:r>
          </w:p>
        </w:tc>
        <w:tc>
          <w:tcPr>
            <w:tcW w:w="512" w:type="dxa"/>
            <w:tcBorders>
              <w:top w:val="single" w:color="auto" w:sz="4" w:space="0"/>
              <w:left w:val="nil"/>
              <w:bottom w:val="single" w:color="auto" w:sz="8" w:space="0"/>
              <w:right w:val="single" w:color="auto" w:sz="8" w:space="0"/>
            </w:tcBorders>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5</w:t>
            </w:r>
          </w:p>
        </w:tc>
        <w:tc>
          <w:tcPr>
            <w:tcW w:w="451" w:type="dxa"/>
            <w:tcBorders>
              <w:top w:val="single" w:color="auto" w:sz="4" w:space="0"/>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single" w:color="auto" w:sz="4" w:space="0"/>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single" w:color="auto" w:sz="4" w:space="0"/>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single" w:color="auto" w:sz="4" w:space="0"/>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Cs w:val="21"/>
              </w:rPr>
              <w:t> </w:t>
            </w:r>
          </w:p>
        </w:tc>
        <w:tc>
          <w:tcPr>
            <w:tcW w:w="452" w:type="dxa"/>
            <w:tcBorders>
              <w:top w:val="single" w:color="auto" w:sz="4" w:space="0"/>
              <w:left w:val="nil"/>
              <w:bottom w:val="single" w:color="auto" w:sz="8" w:space="0"/>
              <w:right w:val="single" w:color="auto" w:sz="8" w:space="0"/>
            </w:tcBorders>
            <w:vAlign w:val="top"/>
          </w:tcPr>
          <w:p>
            <w:pPr>
              <w:widowControl/>
              <w:spacing w:line="300" w:lineRule="atLeast"/>
              <w:rPr>
                <w:rFonts w:ascii="仿宋_GB2312" w:eastAsia="仿宋_GB2312"/>
                <w:kern w:val="0"/>
                <w:sz w:val="30"/>
                <w:szCs w:val="30"/>
              </w:rPr>
            </w:pPr>
            <w:r>
              <w:rPr>
                <w:rFonts w:hint="eastAsia" w:ascii="仿宋_GB2312" w:eastAsia="仿宋_GB2312"/>
                <w:color w:val="000000"/>
                <w:kern w:val="0"/>
                <w:sz w:val="24"/>
              </w:rPr>
              <w:t> </w:t>
            </w:r>
          </w:p>
        </w:tc>
      </w:tr>
      <w:tr>
        <w:tblPrEx>
          <w:tblLayout w:type="fixed"/>
          <w:tblCellMar>
            <w:top w:w="0" w:type="dxa"/>
            <w:left w:w="0" w:type="dxa"/>
            <w:bottom w:w="0" w:type="dxa"/>
            <w:right w:w="0" w:type="dxa"/>
          </w:tblCellMar>
        </w:tblPrEx>
        <w:trPr>
          <w:cantSplit/>
          <w:trHeight w:val="2401" w:hRule="atLeast"/>
          <w:jc w:val="center"/>
        </w:trPr>
        <w:tc>
          <w:tcPr>
            <w:tcW w:w="57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eastAsia="仿宋_GB2312"/>
                <w:kern w:val="0"/>
                <w:sz w:val="30"/>
                <w:szCs w:val="30"/>
              </w:rPr>
            </w:pPr>
          </w:p>
        </w:tc>
        <w:tc>
          <w:tcPr>
            <w:tcW w:w="564"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6-2</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社会评价</w:t>
            </w:r>
          </w:p>
        </w:tc>
        <w:tc>
          <w:tcPr>
            <w:tcW w:w="83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社会</w:t>
            </w:r>
          </w:p>
          <w:p>
            <w:pPr>
              <w:widowControl/>
              <w:spacing w:line="300" w:lineRule="atLeast"/>
              <w:jc w:val="center"/>
              <w:rPr>
                <w:rFonts w:ascii="仿宋_GB2312" w:eastAsia="仿宋_GB2312"/>
                <w:kern w:val="0"/>
                <w:sz w:val="30"/>
                <w:szCs w:val="30"/>
              </w:rPr>
            </w:pPr>
            <w:r>
              <w:rPr>
                <w:rFonts w:hint="eastAsia" w:ascii="仿宋_GB2312" w:eastAsia="仿宋_GB2312"/>
                <w:color w:val="000000"/>
                <w:kern w:val="0"/>
                <w:szCs w:val="21"/>
              </w:rPr>
              <w:t>认可度</w:t>
            </w:r>
          </w:p>
        </w:tc>
        <w:tc>
          <w:tcPr>
            <w:tcW w:w="467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300" w:lineRule="atLeast"/>
              <w:rPr>
                <w:rFonts w:ascii="仿宋_GB2312" w:eastAsia="仿宋_GB2312"/>
                <w:kern w:val="0"/>
                <w:sz w:val="30"/>
                <w:szCs w:val="30"/>
              </w:rPr>
            </w:pPr>
            <w:r>
              <w:rPr>
                <w:rFonts w:hint="eastAsia" w:ascii="仿宋_GB2312" w:eastAsia="仿宋_GB2312"/>
                <w:color w:val="000000"/>
                <w:spacing w:val="-6"/>
                <w:kern w:val="0"/>
                <w:szCs w:val="21"/>
              </w:rPr>
              <w:t>学生实际动手能力强，实训、实习产品能够体现应用价值；课程对应或相关的职业资格证书或专业技能水平证书获取率高，相应技能竞赛获奖率高。</w:t>
            </w:r>
          </w:p>
        </w:tc>
        <w:tc>
          <w:tcPr>
            <w:tcW w:w="512" w:type="dxa"/>
            <w:tcBorders>
              <w:top w:val="nil"/>
              <w:left w:val="nil"/>
              <w:bottom w:val="single" w:color="auto" w:sz="8" w:space="0"/>
              <w:right w:val="single" w:color="auto" w:sz="8" w:space="0"/>
            </w:tcBorders>
            <w:vAlign w:val="center"/>
          </w:tcPr>
          <w:p>
            <w:pPr>
              <w:widowControl/>
              <w:jc w:val="center"/>
              <w:rPr>
                <w:rFonts w:ascii="仿宋_GB2312" w:eastAsia="仿宋_GB2312"/>
                <w:kern w:val="0"/>
                <w:sz w:val="30"/>
                <w:szCs w:val="30"/>
              </w:rPr>
            </w:pPr>
            <w:r>
              <w:rPr>
                <w:rFonts w:hint="eastAsia" w:ascii="仿宋_GB2312" w:eastAsia="仿宋_GB2312"/>
                <w:color w:val="000000"/>
                <w:kern w:val="0"/>
                <w:szCs w:val="21"/>
              </w:rPr>
              <w:t>5</w:t>
            </w:r>
          </w:p>
        </w:tc>
        <w:tc>
          <w:tcPr>
            <w:tcW w:w="451" w:type="dxa"/>
            <w:tcBorders>
              <w:top w:val="nil"/>
              <w:left w:val="nil"/>
              <w:bottom w:val="single" w:color="auto" w:sz="8" w:space="0"/>
              <w:right w:val="single" w:color="auto" w:sz="8" w:space="0"/>
            </w:tcBorders>
            <w:vAlign w:val="top"/>
          </w:tcPr>
          <w:p>
            <w:pPr>
              <w:widowControl/>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rPr>
                <w:rFonts w:ascii="仿宋_GB2312" w:eastAsia="仿宋_GB2312"/>
                <w:kern w:val="0"/>
                <w:sz w:val="30"/>
                <w:szCs w:val="30"/>
              </w:rPr>
            </w:pPr>
            <w:r>
              <w:rPr>
                <w:rFonts w:hint="eastAsia" w:ascii="仿宋_GB2312" w:eastAsia="仿宋_GB2312"/>
                <w:color w:val="000000"/>
                <w:kern w:val="0"/>
                <w:szCs w:val="21"/>
              </w:rPr>
              <w:t> </w:t>
            </w:r>
          </w:p>
        </w:tc>
        <w:tc>
          <w:tcPr>
            <w:tcW w:w="451" w:type="dxa"/>
            <w:tcBorders>
              <w:top w:val="nil"/>
              <w:left w:val="nil"/>
              <w:bottom w:val="single" w:color="auto" w:sz="8" w:space="0"/>
              <w:right w:val="single" w:color="auto" w:sz="8" w:space="0"/>
            </w:tcBorders>
            <w:vAlign w:val="top"/>
          </w:tcPr>
          <w:p>
            <w:pPr>
              <w:widowControl/>
              <w:rPr>
                <w:rFonts w:ascii="仿宋_GB2312" w:eastAsia="仿宋_GB2312"/>
                <w:kern w:val="0"/>
                <w:sz w:val="30"/>
                <w:szCs w:val="30"/>
              </w:rPr>
            </w:pPr>
            <w:r>
              <w:rPr>
                <w:rFonts w:hint="eastAsia" w:ascii="仿宋_GB2312" w:eastAsia="仿宋_GB2312"/>
                <w:color w:val="000000"/>
                <w:kern w:val="0"/>
                <w:szCs w:val="21"/>
              </w:rPr>
              <w:t> </w:t>
            </w:r>
          </w:p>
        </w:tc>
        <w:tc>
          <w:tcPr>
            <w:tcW w:w="452" w:type="dxa"/>
            <w:tcBorders>
              <w:top w:val="nil"/>
              <w:left w:val="nil"/>
              <w:bottom w:val="single" w:color="auto" w:sz="8" w:space="0"/>
              <w:right w:val="single" w:color="auto" w:sz="8" w:space="0"/>
            </w:tcBorders>
            <w:vAlign w:val="top"/>
          </w:tcPr>
          <w:p>
            <w:pPr>
              <w:widowControl/>
              <w:rPr>
                <w:rFonts w:ascii="仿宋_GB2312" w:eastAsia="仿宋_GB2312"/>
                <w:kern w:val="0"/>
                <w:sz w:val="30"/>
                <w:szCs w:val="30"/>
              </w:rPr>
            </w:pPr>
            <w:r>
              <w:rPr>
                <w:rFonts w:hint="eastAsia" w:ascii="仿宋_GB2312" w:eastAsia="仿宋_GB2312"/>
                <w:color w:val="000000"/>
                <w:kern w:val="0"/>
                <w:sz w:val="24"/>
              </w:rPr>
              <w:t> </w:t>
            </w:r>
          </w:p>
        </w:tc>
      </w:tr>
    </w:tbl>
    <w:p/>
    <w:p>
      <w:pPr>
        <w:rPr>
          <w:rFonts w:hint="eastAsia" w:ascii="华文细黑" w:hAnsi="华文细黑" w:eastAsia="华文细黑" w:cs="华文细黑"/>
          <w:b/>
          <w:bCs/>
          <w:sz w:val="32"/>
          <w:szCs w:val="32"/>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954C4"/>
    <w:rsid w:val="46A954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2017-11-14T06:38:00Z</dcterms:created>
  <dc:creator>Administrator</dc:creator>
  <cp:lastModifiedBy>Administrator</cp:lastModifiedBy>
  <dcterms:modified xsi:type="dcterms:W3CDTF">2017-11-14T06:38:27Z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